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BBF23" w14:textId="774A0A85" w:rsidR="008C53F0" w:rsidRDefault="008C53F0" w:rsidP="008C53F0">
      <w:pPr>
        <w:spacing w:line="240" w:lineRule="auto"/>
        <w:jc w:val="center"/>
        <w:rPr>
          <w:rFonts w:ascii="Arial" w:hAnsi="Arial" w:cs="Arial"/>
          <w:b/>
          <w:bCs/>
        </w:rPr>
      </w:pPr>
      <w:r w:rsidRPr="008C53F0">
        <w:rPr>
          <w:rFonts w:ascii="Arial" w:hAnsi="Arial" w:cs="Arial"/>
          <w:b/>
          <w:bCs/>
        </w:rPr>
        <w:t xml:space="preserve">Regional variation in diabetes burden across Primary Health Networks in </w:t>
      </w:r>
      <w:r>
        <w:rPr>
          <w:rFonts w:ascii="Arial" w:hAnsi="Arial" w:cs="Arial"/>
          <w:b/>
          <w:bCs/>
        </w:rPr>
        <w:t>N</w:t>
      </w:r>
      <w:r w:rsidR="00FB6469">
        <w:rPr>
          <w:rFonts w:ascii="Arial" w:hAnsi="Arial" w:cs="Arial"/>
          <w:b/>
          <w:bCs/>
        </w:rPr>
        <w:t>ew South Wales, Australia</w:t>
      </w:r>
    </w:p>
    <w:p w14:paraId="57A6C564" w14:textId="46C58AA5" w:rsidR="00B40EFA" w:rsidRPr="00310A0F" w:rsidRDefault="0090566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Aims</w:t>
      </w:r>
      <w:r w:rsidR="00565399">
        <w:rPr>
          <w:rFonts w:ascii="Arial" w:hAnsi="Arial" w:cs="Arial"/>
          <w:b/>
          <w:bCs/>
        </w:rPr>
        <w:t>:</w:t>
      </w:r>
      <w:r w:rsidR="00B40EFA" w:rsidRPr="00310A0F">
        <w:rPr>
          <w:rFonts w:ascii="Arial" w:hAnsi="Arial" w:cs="Arial"/>
          <w:b/>
          <w:bCs/>
        </w:rPr>
        <w:t> </w:t>
      </w:r>
      <w:r w:rsidR="00B40EFA" w:rsidRPr="00310A0F">
        <w:rPr>
          <w:rFonts w:ascii="Arial" w:hAnsi="Arial" w:cs="Arial"/>
        </w:rPr>
        <w:t>To assess</w:t>
      </w:r>
      <w:r w:rsidR="00E87F68">
        <w:rPr>
          <w:rFonts w:ascii="Arial" w:hAnsi="Arial" w:cs="Arial"/>
        </w:rPr>
        <w:t xml:space="preserve"> </w:t>
      </w:r>
      <w:r w:rsidR="00F7485A">
        <w:rPr>
          <w:rFonts w:ascii="Arial" w:hAnsi="Arial" w:cs="Arial"/>
        </w:rPr>
        <w:t>the</w:t>
      </w:r>
      <w:r w:rsidR="00E87F68">
        <w:rPr>
          <w:rFonts w:ascii="Arial" w:hAnsi="Arial" w:cs="Arial"/>
        </w:rPr>
        <w:t xml:space="preserve"> </w:t>
      </w:r>
      <w:r w:rsidR="00B40EFA" w:rsidRPr="00310A0F">
        <w:rPr>
          <w:rFonts w:ascii="Arial" w:hAnsi="Arial" w:cs="Arial"/>
        </w:rPr>
        <w:t>prevalence and incidence of diabetes among</w:t>
      </w:r>
      <w:r w:rsidR="001E39CC">
        <w:rPr>
          <w:rFonts w:ascii="Arial" w:hAnsi="Arial" w:cs="Arial"/>
        </w:rPr>
        <w:t>st</w:t>
      </w:r>
      <w:r w:rsidR="00B40EFA" w:rsidRPr="00310A0F">
        <w:rPr>
          <w:rFonts w:ascii="Arial" w:hAnsi="Arial" w:cs="Arial"/>
        </w:rPr>
        <w:t xml:space="preserve"> adults in N</w:t>
      </w:r>
      <w:r w:rsidR="008F30F1">
        <w:rPr>
          <w:rFonts w:ascii="Arial" w:hAnsi="Arial" w:cs="Arial"/>
        </w:rPr>
        <w:t>ew South Wales (NSW)</w:t>
      </w:r>
      <w:r w:rsidR="00B40EFA" w:rsidRPr="00310A0F">
        <w:rPr>
          <w:rFonts w:ascii="Arial" w:hAnsi="Arial" w:cs="Arial"/>
        </w:rPr>
        <w:t xml:space="preserve">, by </w:t>
      </w:r>
      <w:r w:rsidR="004354F2">
        <w:rPr>
          <w:rFonts w:ascii="Arial" w:hAnsi="Arial" w:cs="Arial"/>
        </w:rPr>
        <w:t>primary health network (PHN)</w:t>
      </w:r>
      <w:r w:rsidR="00417C51">
        <w:rPr>
          <w:rFonts w:ascii="Arial" w:hAnsi="Arial" w:cs="Arial"/>
        </w:rPr>
        <w:t>.</w:t>
      </w:r>
    </w:p>
    <w:p w14:paraId="6EC4C9FB" w14:textId="7CCC3B03" w:rsidR="00D36416" w:rsidRPr="00310A0F" w:rsidRDefault="00D36416">
      <w:pPr>
        <w:rPr>
          <w:rFonts w:ascii="Arial" w:hAnsi="Arial" w:cs="Arial"/>
        </w:rPr>
      </w:pPr>
      <w:r w:rsidRPr="00310A0F">
        <w:rPr>
          <w:rFonts w:ascii="Arial" w:hAnsi="Arial" w:cs="Arial"/>
          <w:b/>
          <w:bCs/>
        </w:rPr>
        <w:t xml:space="preserve">Methods: </w:t>
      </w:r>
      <w:r w:rsidR="00F37E8A" w:rsidRPr="005B27C5">
        <w:rPr>
          <w:rFonts w:ascii="Arial" w:hAnsi="Arial" w:cs="Arial"/>
        </w:rPr>
        <w:t xml:space="preserve">This study used a population-level linked data asset containing records for all Medicare-eligible adults residing in </w:t>
      </w:r>
      <w:r w:rsidR="008F30F1">
        <w:rPr>
          <w:rFonts w:ascii="Arial" w:hAnsi="Arial" w:cs="Arial"/>
        </w:rPr>
        <w:t>NSW</w:t>
      </w:r>
      <w:r w:rsidR="00F37E8A" w:rsidRPr="005B27C5">
        <w:rPr>
          <w:rFonts w:ascii="Arial" w:hAnsi="Arial" w:cs="Arial"/>
        </w:rPr>
        <w:t>, Australia, from 2005–2020</w:t>
      </w:r>
      <w:r w:rsidR="00B07122">
        <w:rPr>
          <w:rFonts w:ascii="Arial" w:hAnsi="Arial" w:cs="Arial"/>
        </w:rPr>
        <w:t xml:space="preserve"> (</w:t>
      </w:r>
      <w:r w:rsidR="00A66F4E">
        <w:rPr>
          <w:rFonts w:ascii="Arial" w:hAnsi="Arial" w:cs="Arial"/>
        </w:rPr>
        <w:t>n =</w:t>
      </w:r>
      <w:r w:rsidR="00B07122">
        <w:rPr>
          <w:rFonts w:ascii="Arial" w:hAnsi="Arial" w:cs="Arial"/>
        </w:rPr>
        <w:t>7.4 million)</w:t>
      </w:r>
      <w:r w:rsidR="00F37E8A" w:rsidRPr="005B27C5">
        <w:rPr>
          <w:rFonts w:ascii="Arial" w:hAnsi="Arial" w:cs="Arial"/>
        </w:rPr>
        <w:t>. Individuals with diabetes</w:t>
      </w:r>
      <w:r w:rsidR="00371807">
        <w:rPr>
          <w:rFonts w:ascii="Arial" w:hAnsi="Arial" w:cs="Arial"/>
        </w:rPr>
        <w:t xml:space="preserve"> (excluding gestational diabetes mellitus)</w:t>
      </w:r>
      <w:r w:rsidR="00F37E8A" w:rsidRPr="005B27C5">
        <w:rPr>
          <w:rFonts w:ascii="Arial" w:hAnsi="Arial" w:cs="Arial"/>
        </w:rPr>
        <w:t xml:space="preserve"> were identified using a</w:t>
      </w:r>
      <w:r w:rsidR="00872EB9">
        <w:rPr>
          <w:rFonts w:ascii="Arial" w:hAnsi="Arial" w:cs="Arial"/>
        </w:rPr>
        <w:t xml:space="preserve"> validated algorithm based on a combination of</w:t>
      </w:r>
      <w:r w:rsidR="00693E72">
        <w:rPr>
          <w:rFonts w:ascii="Arial" w:hAnsi="Arial" w:cs="Arial"/>
        </w:rPr>
        <w:t xml:space="preserve"> </w:t>
      </w:r>
      <w:r w:rsidR="00693E72" w:rsidRPr="005B27C5">
        <w:rPr>
          <w:rFonts w:ascii="Arial" w:hAnsi="Arial" w:cs="Arial"/>
        </w:rPr>
        <w:t>diabetes</w:t>
      </w:r>
      <w:r w:rsidR="00693E72">
        <w:rPr>
          <w:rFonts w:ascii="Arial" w:hAnsi="Arial" w:cs="Arial"/>
        </w:rPr>
        <w:t>-</w:t>
      </w:r>
      <w:r w:rsidR="00693E72" w:rsidRPr="005B27C5">
        <w:rPr>
          <w:rFonts w:ascii="Arial" w:hAnsi="Arial" w:cs="Arial"/>
        </w:rPr>
        <w:t>related medical service claims, dispensed insulin and/or glucose lowering medicines</w:t>
      </w:r>
      <w:r w:rsidR="00693E72">
        <w:rPr>
          <w:rFonts w:ascii="Arial" w:hAnsi="Arial" w:cs="Arial"/>
        </w:rPr>
        <w:t xml:space="preserve">, </w:t>
      </w:r>
      <w:r w:rsidR="00693E72" w:rsidRPr="005B27C5">
        <w:rPr>
          <w:rFonts w:ascii="Arial" w:hAnsi="Arial" w:cs="Arial"/>
        </w:rPr>
        <w:t>and diabetes-related hospital admission</w:t>
      </w:r>
      <w:r w:rsidR="00693E72">
        <w:rPr>
          <w:rFonts w:ascii="Arial" w:hAnsi="Arial" w:cs="Arial"/>
        </w:rPr>
        <w:t>s</w:t>
      </w:r>
      <w:r w:rsidR="008C22B2">
        <w:rPr>
          <w:rFonts w:ascii="Arial" w:hAnsi="Arial" w:cs="Arial"/>
        </w:rPr>
        <w:t xml:space="preserve">. </w:t>
      </w:r>
      <w:r w:rsidR="00CB0543">
        <w:rPr>
          <w:rFonts w:ascii="Arial" w:hAnsi="Arial" w:cs="Arial"/>
        </w:rPr>
        <w:t>Crude p</w:t>
      </w:r>
      <w:r w:rsidR="00BC7338">
        <w:rPr>
          <w:rFonts w:ascii="Arial" w:hAnsi="Arial" w:cs="Arial"/>
        </w:rPr>
        <w:t xml:space="preserve">revalence </w:t>
      </w:r>
      <w:r w:rsidR="00AA259E">
        <w:rPr>
          <w:rFonts w:ascii="Arial" w:hAnsi="Arial" w:cs="Arial"/>
        </w:rPr>
        <w:t>and incidence</w:t>
      </w:r>
      <w:r w:rsidR="00602FEB">
        <w:rPr>
          <w:rFonts w:ascii="Arial" w:hAnsi="Arial" w:cs="Arial"/>
        </w:rPr>
        <w:t xml:space="preserve"> estimates</w:t>
      </w:r>
      <w:r w:rsidR="00CB0543">
        <w:rPr>
          <w:rFonts w:ascii="Arial" w:hAnsi="Arial" w:cs="Arial"/>
        </w:rPr>
        <w:t xml:space="preserve"> </w:t>
      </w:r>
      <w:r w:rsidR="00BC7338">
        <w:rPr>
          <w:rFonts w:ascii="Arial" w:hAnsi="Arial" w:cs="Arial"/>
        </w:rPr>
        <w:t>w</w:t>
      </w:r>
      <w:r w:rsidR="00CD308F">
        <w:rPr>
          <w:rFonts w:ascii="Arial" w:hAnsi="Arial" w:cs="Arial"/>
        </w:rPr>
        <w:t>ere</w:t>
      </w:r>
      <w:r w:rsidR="00BC7338">
        <w:rPr>
          <w:rFonts w:ascii="Arial" w:hAnsi="Arial" w:cs="Arial"/>
        </w:rPr>
        <w:t xml:space="preserve"> calculated for </w:t>
      </w:r>
      <w:r w:rsidR="00CB0543">
        <w:rPr>
          <w:rFonts w:ascii="Arial" w:hAnsi="Arial" w:cs="Arial"/>
        </w:rPr>
        <w:t>20</w:t>
      </w:r>
      <w:r w:rsidR="00CF1CB9">
        <w:rPr>
          <w:rFonts w:ascii="Arial" w:hAnsi="Arial" w:cs="Arial"/>
        </w:rPr>
        <w:t>19</w:t>
      </w:r>
      <w:r w:rsidR="00070898">
        <w:rPr>
          <w:rFonts w:ascii="Arial" w:hAnsi="Arial" w:cs="Arial"/>
        </w:rPr>
        <w:t xml:space="preserve"> and stratified by PHN </w:t>
      </w:r>
      <w:r w:rsidR="006D01F1">
        <w:rPr>
          <w:rFonts w:ascii="Arial" w:hAnsi="Arial" w:cs="Arial"/>
        </w:rPr>
        <w:t>according to</w:t>
      </w:r>
      <w:r w:rsidR="000A7DDC">
        <w:rPr>
          <w:rFonts w:ascii="Arial" w:hAnsi="Arial" w:cs="Arial"/>
        </w:rPr>
        <w:t xml:space="preserve"> individual</w:t>
      </w:r>
      <w:r w:rsidR="006D01F1">
        <w:rPr>
          <w:rFonts w:ascii="Arial" w:hAnsi="Arial" w:cs="Arial"/>
        </w:rPr>
        <w:t>s’ postcode of residence.</w:t>
      </w:r>
      <w:r w:rsidR="00F52EAA">
        <w:rPr>
          <w:rFonts w:ascii="Arial" w:hAnsi="Arial" w:cs="Arial"/>
        </w:rPr>
        <w:t xml:space="preserve"> Prevalence estimates were compared with 2018 National Diabetes Services Scheme (NDSS) registrant data. </w:t>
      </w:r>
    </w:p>
    <w:p w14:paraId="57BD1ADD" w14:textId="0D860A65" w:rsidR="00D36416" w:rsidRPr="00DF32E0" w:rsidRDefault="00D36416">
      <w:pPr>
        <w:rPr>
          <w:rFonts w:ascii="Arial" w:hAnsi="Arial" w:cs="Arial"/>
        </w:rPr>
      </w:pPr>
      <w:r w:rsidRPr="00310A0F">
        <w:rPr>
          <w:rFonts w:ascii="Arial" w:hAnsi="Arial" w:cs="Arial"/>
          <w:b/>
          <w:bCs/>
        </w:rPr>
        <w:t>Results:</w:t>
      </w:r>
      <w:r w:rsidR="00086288" w:rsidRPr="00310A0F">
        <w:rPr>
          <w:rFonts w:ascii="Arial" w:hAnsi="Arial" w:cs="Arial"/>
          <w:b/>
          <w:bCs/>
        </w:rPr>
        <w:t xml:space="preserve"> </w:t>
      </w:r>
      <w:r w:rsidR="00FE4F78">
        <w:rPr>
          <w:rFonts w:ascii="Arial" w:hAnsi="Arial" w:cs="Arial"/>
        </w:rPr>
        <w:t>D</w:t>
      </w:r>
      <w:r w:rsidR="004C27BF" w:rsidRPr="004C27BF">
        <w:rPr>
          <w:rFonts w:ascii="Arial" w:hAnsi="Arial" w:cs="Arial"/>
        </w:rPr>
        <w:t>iabetes prevalence varied substantially across PHNs, ranging from 12.4% in South Western Sydney to 7.1% in Northern Sydney</w:t>
      </w:r>
      <w:r w:rsidR="00825278">
        <w:rPr>
          <w:rFonts w:ascii="Arial" w:hAnsi="Arial" w:cs="Arial"/>
        </w:rPr>
        <w:t xml:space="preserve"> </w:t>
      </w:r>
      <w:r w:rsidR="005E34C8">
        <w:rPr>
          <w:rFonts w:ascii="Arial" w:hAnsi="Arial" w:cs="Arial"/>
        </w:rPr>
        <w:t>–</w:t>
      </w:r>
      <w:r w:rsidR="00825278">
        <w:rPr>
          <w:rFonts w:ascii="Arial" w:hAnsi="Arial" w:cs="Arial"/>
        </w:rPr>
        <w:t xml:space="preserve"> </w:t>
      </w:r>
      <w:r w:rsidR="005E34C8">
        <w:rPr>
          <w:rFonts w:ascii="Arial" w:hAnsi="Arial" w:cs="Arial"/>
        </w:rPr>
        <w:t>1.5-2.0</w:t>
      </w:r>
      <w:r w:rsidR="00CA5DDA">
        <w:rPr>
          <w:rFonts w:ascii="Arial" w:hAnsi="Arial" w:cs="Arial"/>
        </w:rPr>
        <w:t xml:space="preserve"> times higher than </w:t>
      </w:r>
      <w:r w:rsidR="00F52EAA">
        <w:rPr>
          <w:rFonts w:ascii="Arial" w:hAnsi="Arial" w:cs="Arial"/>
        </w:rPr>
        <w:t>NDSS</w:t>
      </w:r>
      <w:r w:rsidR="00CA5DDA">
        <w:rPr>
          <w:rFonts w:ascii="Arial" w:hAnsi="Arial" w:cs="Arial"/>
        </w:rPr>
        <w:t xml:space="preserve"> </w:t>
      </w:r>
      <w:r w:rsidR="00043408">
        <w:rPr>
          <w:rFonts w:ascii="Arial" w:hAnsi="Arial" w:cs="Arial"/>
        </w:rPr>
        <w:t>registrations</w:t>
      </w:r>
      <w:r w:rsidR="00C972B5">
        <w:rPr>
          <w:rFonts w:ascii="Arial" w:hAnsi="Arial" w:cs="Arial"/>
        </w:rPr>
        <w:t xml:space="preserve"> </w:t>
      </w:r>
      <w:r w:rsidR="00825278" w:rsidRPr="00BD1280">
        <w:rPr>
          <w:rFonts w:ascii="Arial" w:hAnsi="Arial" w:cs="Arial"/>
          <w:b/>
          <w:bCs/>
        </w:rPr>
        <w:t>(Figure 1)</w:t>
      </w:r>
      <w:r w:rsidR="00CA5DDA">
        <w:rPr>
          <w:rFonts w:ascii="Arial" w:hAnsi="Arial" w:cs="Arial"/>
        </w:rPr>
        <w:t>.</w:t>
      </w:r>
      <w:r w:rsidR="004C27BF" w:rsidRPr="004C27BF">
        <w:rPr>
          <w:rFonts w:ascii="Arial" w:hAnsi="Arial" w:cs="Arial"/>
        </w:rPr>
        <w:t xml:space="preserve"> </w:t>
      </w:r>
      <w:r w:rsidR="00D82983">
        <w:rPr>
          <w:rFonts w:ascii="Arial" w:hAnsi="Arial" w:cs="Arial"/>
        </w:rPr>
        <w:t xml:space="preserve">A </w:t>
      </w:r>
      <w:r w:rsidR="004C27BF" w:rsidRPr="004C27BF">
        <w:rPr>
          <w:rFonts w:ascii="Arial" w:hAnsi="Arial" w:cs="Arial"/>
        </w:rPr>
        <w:t xml:space="preserve">similar pattern was observed for incidence, with the highest </w:t>
      </w:r>
      <w:r w:rsidR="00CF1CB9">
        <w:rPr>
          <w:rFonts w:ascii="Arial" w:hAnsi="Arial" w:cs="Arial"/>
        </w:rPr>
        <w:t xml:space="preserve">annual </w:t>
      </w:r>
      <w:r w:rsidR="004C27BF" w:rsidRPr="004C27BF">
        <w:rPr>
          <w:rFonts w:ascii="Arial" w:hAnsi="Arial" w:cs="Arial"/>
        </w:rPr>
        <w:t>rate</w:t>
      </w:r>
      <w:r w:rsidR="00CF1CB9">
        <w:rPr>
          <w:rFonts w:ascii="Arial" w:hAnsi="Arial" w:cs="Arial"/>
        </w:rPr>
        <w:t xml:space="preserve">s </w:t>
      </w:r>
      <w:r w:rsidR="004C27BF" w:rsidRPr="004C27BF">
        <w:rPr>
          <w:rFonts w:ascii="Arial" w:hAnsi="Arial" w:cs="Arial"/>
        </w:rPr>
        <w:t>in Western NSW (9.0 per 1000 person</w:t>
      </w:r>
      <w:r w:rsidR="004C27BF" w:rsidRPr="004C27BF">
        <w:rPr>
          <w:rFonts w:ascii="Arial" w:hAnsi="Arial" w:cs="Arial"/>
        </w:rPr>
        <w:noBreakHyphen/>
        <w:t>years) and Western Sydney (8.6 per 1000 person</w:t>
      </w:r>
      <w:r w:rsidR="004C27BF" w:rsidRPr="004C27BF">
        <w:rPr>
          <w:rFonts w:ascii="Arial" w:hAnsi="Arial" w:cs="Arial"/>
        </w:rPr>
        <w:noBreakHyphen/>
        <w:t>years), nearly double that of Northern Sydney (4.8 per 1000 person</w:t>
      </w:r>
      <w:r w:rsidR="004C27BF" w:rsidRPr="004C27BF">
        <w:rPr>
          <w:rFonts w:ascii="Arial" w:hAnsi="Arial" w:cs="Arial"/>
        </w:rPr>
        <w:noBreakHyphen/>
        <w:t xml:space="preserve">years). </w:t>
      </w:r>
      <w:r w:rsidR="007E25EC">
        <w:rPr>
          <w:rFonts w:ascii="Arial" w:hAnsi="Arial" w:cs="Arial"/>
        </w:rPr>
        <w:t>Time t</w:t>
      </w:r>
      <w:r w:rsidR="00FE4F78" w:rsidRPr="00FE4F78">
        <w:rPr>
          <w:rFonts w:ascii="Arial" w:hAnsi="Arial" w:cs="Arial"/>
        </w:rPr>
        <w:t>rend analyses of age</w:t>
      </w:r>
      <w:r w:rsidR="00FE4F78" w:rsidRPr="00FE4F78">
        <w:rPr>
          <w:rFonts w:ascii="Arial" w:hAnsi="Arial" w:cs="Arial"/>
        </w:rPr>
        <w:noBreakHyphen/>
        <w:t>sex–standardised prevalence and incidence are underway, with results expected by August</w:t>
      </w:r>
      <w:r w:rsidR="00FE4F78">
        <w:rPr>
          <w:rFonts w:ascii="Arial" w:hAnsi="Arial" w:cs="Arial"/>
        </w:rPr>
        <w:t>.</w:t>
      </w:r>
    </w:p>
    <w:p w14:paraId="10632929" w14:textId="07B4421B" w:rsidR="0042088F" w:rsidRDefault="0090566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Conclusions</w:t>
      </w:r>
      <w:r w:rsidR="00346E2D" w:rsidRPr="00310A0F">
        <w:rPr>
          <w:rFonts w:ascii="Arial" w:hAnsi="Arial" w:cs="Arial"/>
          <w:b/>
          <w:bCs/>
        </w:rPr>
        <w:t xml:space="preserve">: </w:t>
      </w:r>
      <w:r w:rsidR="004B3CD6">
        <w:rPr>
          <w:rFonts w:ascii="Arial" w:hAnsi="Arial" w:cs="Arial"/>
        </w:rPr>
        <w:t>Our</w:t>
      </w:r>
      <w:r w:rsidR="004B3CD6" w:rsidRPr="00927393">
        <w:rPr>
          <w:rFonts w:ascii="Arial" w:hAnsi="Arial" w:cs="Arial"/>
        </w:rPr>
        <w:t xml:space="preserve"> findings highlight geographic disparities and a higher</w:t>
      </w:r>
      <w:r w:rsidR="004B3CD6" w:rsidRPr="00927393">
        <w:rPr>
          <w:rFonts w:ascii="Arial" w:hAnsi="Arial" w:cs="Arial"/>
        </w:rPr>
        <w:noBreakHyphen/>
        <w:t>than</w:t>
      </w:r>
      <w:r w:rsidR="004B3CD6" w:rsidRPr="00927393">
        <w:rPr>
          <w:rFonts w:ascii="Arial" w:hAnsi="Arial" w:cs="Arial"/>
        </w:rPr>
        <w:noBreakHyphen/>
        <w:t>expected diabetes burden across NSW</w:t>
      </w:r>
      <w:r w:rsidR="004B3CD6">
        <w:rPr>
          <w:rFonts w:ascii="Arial" w:hAnsi="Arial" w:cs="Arial"/>
        </w:rPr>
        <w:t xml:space="preserve"> compared with National Diabetes Services Scheme </w:t>
      </w:r>
      <w:r w:rsidR="00543050">
        <w:rPr>
          <w:rFonts w:ascii="Arial" w:hAnsi="Arial" w:cs="Arial"/>
        </w:rPr>
        <w:t>data</w:t>
      </w:r>
      <w:r w:rsidR="00EA771A">
        <w:rPr>
          <w:rFonts w:ascii="Arial" w:hAnsi="Arial" w:cs="Arial"/>
        </w:rPr>
        <w:t xml:space="preserve">. </w:t>
      </w:r>
      <w:r w:rsidR="004B51FA">
        <w:rPr>
          <w:rFonts w:ascii="Arial" w:hAnsi="Arial" w:cs="Arial"/>
        </w:rPr>
        <w:t xml:space="preserve">Ongoing monitoring of </w:t>
      </w:r>
      <w:r w:rsidR="00E16431">
        <w:rPr>
          <w:rFonts w:ascii="Arial" w:hAnsi="Arial" w:cs="Arial"/>
        </w:rPr>
        <w:t>regional variation</w:t>
      </w:r>
      <w:r w:rsidR="00013958">
        <w:rPr>
          <w:rFonts w:ascii="Arial" w:hAnsi="Arial" w:cs="Arial"/>
        </w:rPr>
        <w:t>s</w:t>
      </w:r>
      <w:r w:rsidR="00E16431">
        <w:rPr>
          <w:rFonts w:ascii="Arial" w:hAnsi="Arial" w:cs="Arial"/>
        </w:rPr>
        <w:t xml:space="preserve"> </w:t>
      </w:r>
      <w:r w:rsidR="00567B2B">
        <w:rPr>
          <w:rFonts w:ascii="Arial" w:hAnsi="Arial" w:cs="Arial"/>
        </w:rPr>
        <w:t>in diabetes prevalence</w:t>
      </w:r>
      <w:r w:rsidR="00C3001A">
        <w:rPr>
          <w:rFonts w:ascii="Arial" w:hAnsi="Arial" w:cs="Arial"/>
        </w:rPr>
        <w:t xml:space="preserve"> and incidence </w:t>
      </w:r>
      <w:r w:rsidR="00E16431">
        <w:rPr>
          <w:rFonts w:ascii="Arial" w:hAnsi="Arial" w:cs="Arial"/>
        </w:rPr>
        <w:t>can be used to</w:t>
      </w:r>
      <w:r w:rsidR="00013958">
        <w:rPr>
          <w:rFonts w:ascii="Arial" w:hAnsi="Arial" w:cs="Arial"/>
        </w:rPr>
        <w:t xml:space="preserve"> support PHN needs assessments, guide investment in diabetes prevention and </w:t>
      </w:r>
      <w:r w:rsidR="00E71783">
        <w:rPr>
          <w:rFonts w:ascii="Arial" w:hAnsi="Arial" w:cs="Arial"/>
        </w:rPr>
        <w:t xml:space="preserve">management, </w:t>
      </w:r>
      <w:r w:rsidR="00567B2B">
        <w:rPr>
          <w:rFonts w:ascii="Arial" w:hAnsi="Arial" w:cs="Arial"/>
        </w:rPr>
        <w:t>and highlight</w:t>
      </w:r>
      <w:r w:rsidR="00317DD0">
        <w:rPr>
          <w:rFonts w:ascii="Arial" w:hAnsi="Arial" w:cs="Arial"/>
        </w:rPr>
        <w:t xml:space="preserve"> successful local</w:t>
      </w:r>
      <w:r w:rsidR="00567B2B">
        <w:rPr>
          <w:rFonts w:ascii="Arial" w:hAnsi="Arial" w:cs="Arial"/>
        </w:rPr>
        <w:t>-</w:t>
      </w:r>
      <w:r w:rsidR="00317DD0">
        <w:rPr>
          <w:rFonts w:ascii="Arial" w:hAnsi="Arial" w:cs="Arial"/>
        </w:rPr>
        <w:t xml:space="preserve">level initiatives. </w:t>
      </w:r>
    </w:p>
    <w:p w14:paraId="7806D6AA" w14:textId="77777777" w:rsidR="002E2397" w:rsidRPr="002E2397" w:rsidRDefault="002E2397">
      <w:pPr>
        <w:rPr>
          <w:rFonts w:ascii="Arial" w:hAnsi="Arial" w:cs="Arial"/>
          <w:b/>
          <w:bCs/>
        </w:rPr>
      </w:pPr>
    </w:p>
    <w:p w14:paraId="7154D37A" w14:textId="77777777" w:rsidR="000007BC" w:rsidRDefault="00FF6605" w:rsidP="00F37250">
      <w:pPr>
        <w:rPr>
          <w:rFonts w:ascii="Arial" w:hAnsi="Arial" w:cs="Arial"/>
          <w:b/>
          <w:bCs/>
        </w:rPr>
      </w:pPr>
      <w:r>
        <w:rPr>
          <w:noProof/>
        </w:rPr>
        <w:drawing>
          <wp:inline distT="0" distB="0" distL="0" distR="0" wp14:anchorId="6030B65B" wp14:editId="0B65D226">
            <wp:extent cx="5212080" cy="3505200"/>
            <wp:effectExtent l="0" t="0" r="7620" b="0"/>
            <wp:docPr id="1606840445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2A42920-79AA-4C82-BE46-59C32347A45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4B7D9D8C" w14:textId="151C14C0" w:rsidR="00211C73" w:rsidRPr="000007BC" w:rsidRDefault="002E2397" w:rsidP="00F3725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Figure 1. </w:t>
      </w:r>
      <w:r w:rsidR="006E66B5" w:rsidRPr="006E66B5">
        <w:rPr>
          <w:rFonts w:ascii="Arial" w:hAnsi="Arial" w:cs="Arial"/>
          <w:sz w:val="20"/>
          <w:szCs w:val="20"/>
        </w:rPr>
        <w:t>Diabetes prevalence and incidence across NSW PHNs in 2019, including comparison with 2018 National Diabetes Services Scheme</w:t>
      </w:r>
      <w:r w:rsidR="009F5335">
        <w:rPr>
          <w:rFonts w:ascii="Arial" w:hAnsi="Arial" w:cs="Arial"/>
          <w:sz w:val="20"/>
          <w:szCs w:val="20"/>
        </w:rPr>
        <w:t xml:space="preserve"> (NDSS)</w:t>
      </w:r>
      <w:r w:rsidR="006E66B5" w:rsidRPr="006E66B5">
        <w:rPr>
          <w:rFonts w:ascii="Arial" w:hAnsi="Arial" w:cs="Arial"/>
          <w:sz w:val="20"/>
          <w:szCs w:val="20"/>
        </w:rPr>
        <w:t xml:space="preserve"> type 2 diabetes prevalence estimates</w:t>
      </w:r>
    </w:p>
    <w:sectPr w:rsidR="00211C73" w:rsidRPr="000007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4FFBE" w14:textId="77777777" w:rsidR="00D46B1A" w:rsidRDefault="00D46B1A" w:rsidP="00577B5F">
      <w:pPr>
        <w:spacing w:after="0" w:line="240" w:lineRule="auto"/>
      </w:pPr>
      <w:r>
        <w:separator/>
      </w:r>
    </w:p>
  </w:endnote>
  <w:endnote w:type="continuationSeparator" w:id="0">
    <w:p w14:paraId="68CF6829" w14:textId="77777777" w:rsidR="00D46B1A" w:rsidRDefault="00D46B1A" w:rsidP="00577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781BA" w14:textId="77777777" w:rsidR="00D46B1A" w:rsidRDefault="00D46B1A" w:rsidP="00577B5F">
      <w:pPr>
        <w:spacing w:after="0" w:line="240" w:lineRule="auto"/>
      </w:pPr>
      <w:r>
        <w:separator/>
      </w:r>
    </w:p>
  </w:footnote>
  <w:footnote w:type="continuationSeparator" w:id="0">
    <w:p w14:paraId="558F2CEC" w14:textId="77777777" w:rsidR="00D46B1A" w:rsidRDefault="00D46B1A" w:rsidP="00577B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416"/>
    <w:rsid w:val="000007BC"/>
    <w:rsid w:val="00000893"/>
    <w:rsid w:val="0001096D"/>
    <w:rsid w:val="00012BD8"/>
    <w:rsid w:val="00013958"/>
    <w:rsid w:val="00014C29"/>
    <w:rsid w:val="00025E21"/>
    <w:rsid w:val="00043408"/>
    <w:rsid w:val="000461E0"/>
    <w:rsid w:val="00055646"/>
    <w:rsid w:val="00067D86"/>
    <w:rsid w:val="00070898"/>
    <w:rsid w:val="00084D9E"/>
    <w:rsid w:val="00086288"/>
    <w:rsid w:val="0009749C"/>
    <w:rsid w:val="000A1FE7"/>
    <w:rsid w:val="000A4E8D"/>
    <w:rsid w:val="000A7DDC"/>
    <w:rsid w:val="000C076B"/>
    <w:rsid w:val="000D1602"/>
    <w:rsid w:val="000D4ED0"/>
    <w:rsid w:val="000D6E68"/>
    <w:rsid w:val="000F019C"/>
    <w:rsid w:val="000F496E"/>
    <w:rsid w:val="000F62DB"/>
    <w:rsid w:val="000F7E85"/>
    <w:rsid w:val="00105487"/>
    <w:rsid w:val="00112BFA"/>
    <w:rsid w:val="001242DE"/>
    <w:rsid w:val="00127E8E"/>
    <w:rsid w:val="00133A3A"/>
    <w:rsid w:val="00144C47"/>
    <w:rsid w:val="00146254"/>
    <w:rsid w:val="001472F0"/>
    <w:rsid w:val="00147ED4"/>
    <w:rsid w:val="00153270"/>
    <w:rsid w:val="00154269"/>
    <w:rsid w:val="0015680F"/>
    <w:rsid w:val="0016045A"/>
    <w:rsid w:val="00164559"/>
    <w:rsid w:val="00170CB3"/>
    <w:rsid w:val="00180637"/>
    <w:rsid w:val="00184D1D"/>
    <w:rsid w:val="001909E9"/>
    <w:rsid w:val="00197AA7"/>
    <w:rsid w:val="001A52A9"/>
    <w:rsid w:val="001A76BF"/>
    <w:rsid w:val="001B62FC"/>
    <w:rsid w:val="001C1DE5"/>
    <w:rsid w:val="001E39CC"/>
    <w:rsid w:val="001E3B89"/>
    <w:rsid w:val="001F1D24"/>
    <w:rsid w:val="001F2851"/>
    <w:rsid w:val="00202B80"/>
    <w:rsid w:val="00211C73"/>
    <w:rsid w:val="00241805"/>
    <w:rsid w:val="00241D3A"/>
    <w:rsid w:val="00242C7D"/>
    <w:rsid w:val="00261EC4"/>
    <w:rsid w:val="00280050"/>
    <w:rsid w:val="00283CE8"/>
    <w:rsid w:val="00284438"/>
    <w:rsid w:val="00291F15"/>
    <w:rsid w:val="002935E6"/>
    <w:rsid w:val="002A05AB"/>
    <w:rsid w:val="002A4D6D"/>
    <w:rsid w:val="002B0757"/>
    <w:rsid w:val="002B41D6"/>
    <w:rsid w:val="002B52E2"/>
    <w:rsid w:val="002B6A33"/>
    <w:rsid w:val="002C58E8"/>
    <w:rsid w:val="002C723C"/>
    <w:rsid w:val="002D08D4"/>
    <w:rsid w:val="002D24FE"/>
    <w:rsid w:val="002D4956"/>
    <w:rsid w:val="002E1582"/>
    <w:rsid w:val="002E2397"/>
    <w:rsid w:val="002E4667"/>
    <w:rsid w:val="00303D2A"/>
    <w:rsid w:val="00310A0F"/>
    <w:rsid w:val="00311131"/>
    <w:rsid w:val="00317DD0"/>
    <w:rsid w:val="00346E2D"/>
    <w:rsid w:val="0035003D"/>
    <w:rsid w:val="0036218D"/>
    <w:rsid w:val="00366245"/>
    <w:rsid w:val="003665BC"/>
    <w:rsid w:val="00370F69"/>
    <w:rsid w:val="00371807"/>
    <w:rsid w:val="00385F46"/>
    <w:rsid w:val="00387419"/>
    <w:rsid w:val="00391DAC"/>
    <w:rsid w:val="003C2E7D"/>
    <w:rsid w:val="003D1B37"/>
    <w:rsid w:val="003E3367"/>
    <w:rsid w:val="003F1B9E"/>
    <w:rsid w:val="003F7D8F"/>
    <w:rsid w:val="00401C14"/>
    <w:rsid w:val="004119C5"/>
    <w:rsid w:val="00417C51"/>
    <w:rsid w:val="0042088F"/>
    <w:rsid w:val="00427CBE"/>
    <w:rsid w:val="004354F2"/>
    <w:rsid w:val="004356E8"/>
    <w:rsid w:val="00444178"/>
    <w:rsid w:val="00447F44"/>
    <w:rsid w:val="00452E69"/>
    <w:rsid w:val="0045762F"/>
    <w:rsid w:val="004651F7"/>
    <w:rsid w:val="004677F3"/>
    <w:rsid w:val="0047533B"/>
    <w:rsid w:val="00484B1E"/>
    <w:rsid w:val="00491B64"/>
    <w:rsid w:val="00492068"/>
    <w:rsid w:val="00492255"/>
    <w:rsid w:val="004A17A1"/>
    <w:rsid w:val="004B3CD6"/>
    <w:rsid w:val="004B51FA"/>
    <w:rsid w:val="004C27BF"/>
    <w:rsid w:val="004C2B68"/>
    <w:rsid w:val="004D2876"/>
    <w:rsid w:val="004F20D2"/>
    <w:rsid w:val="004F6BC8"/>
    <w:rsid w:val="004F6E8D"/>
    <w:rsid w:val="00517F4F"/>
    <w:rsid w:val="005255DF"/>
    <w:rsid w:val="0053568D"/>
    <w:rsid w:val="00543050"/>
    <w:rsid w:val="005466C0"/>
    <w:rsid w:val="00565399"/>
    <w:rsid w:val="00567B2B"/>
    <w:rsid w:val="00576029"/>
    <w:rsid w:val="00577B5F"/>
    <w:rsid w:val="00582AF4"/>
    <w:rsid w:val="00584B6C"/>
    <w:rsid w:val="005A77E1"/>
    <w:rsid w:val="005B2546"/>
    <w:rsid w:val="005B4184"/>
    <w:rsid w:val="005D7208"/>
    <w:rsid w:val="005E2078"/>
    <w:rsid w:val="005E34C8"/>
    <w:rsid w:val="005E4206"/>
    <w:rsid w:val="005F0D62"/>
    <w:rsid w:val="005F7BB9"/>
    <w:rsid w:val="00602FEB"/>
    <w:rsid w:val="006078E2"/>
    <w:rsid w:val="00611A76"/>
    <w:rsid w:val="006129D9"/>
    <w:rsid w:val="00636A8F"/>
    <w:rsid w:val="006449C0"/>
    <w:rsid w:val="00647ACF"/>
    <w:rsid w:val="0065678B"/>
    <w:rsid w:val="006677D7"/>
    <w:rsid w:val="00667853"/>
    <w:rsid w:val="0068145E"/>
    <w:rsid w:val="0069003B"/>
    <w:rsid w:val="006902FC"/>
    <w:rsid w:val="00693E72"/>
    <w:rsid w:val="006C2B7B"/>
    <w:rsid w:val="006C7ACA"/>
    <w:rsid w:val="006D01F1"/>
    <w:rsid w:val="006D11D7"/>
    <w:rsid w:val="006E66B5"/>
    <w:rsid w:val="006F7B69"/>
    <w:rsid w:val="00701012"/>
    <w:rsid w:val="0070208C"/>
    <w:rsid w:val="00715387"/>
    <w:rsid w:val="00720ABB"/>
    <w:rsid w:val="00734B85"/>
    <w:rsid w:val="00756E2C"/>
    <w:rsid w:val="00775688"/>
    <w:rsid w:val="007835B4"/>
    <w:rsid w:val="007850EC"/>
    <w:rsid w:val="007A40D7"/>
    <w:rsid w:val="007A5BB7"/>
    <w:rsid w:val="007B7F0C"/>
    <w:rsid w:val="007C49C6"/>
    <w:rsid w:val="007D04DB"/>
    <w:rsid w:val="007E25EC"/>
    <w:rsid w:val="007E3A5F"/>
    <w:rsid w:val="007E67E3"/>
    <w:rsid w:val="007F5F8D"/>
    <w:rsid w:val="007F7622"/>
    <w:rsid w:val="00807F9D"/>
    <w:rsid w:val="00825278"/>
    <w:rsid w:val="008463F4"/>
    <w:rsid w:val="00847030"/>
    <w:rsid w:val="00872EB9"/>
    <w:rsid w:val="00873966"/>
    <w:rsid w:val="0089064D"/>
    <w:rsid w:val="00890C7D"/>
    <w:rsid w:val="008C22B2"/>
    <w:rsid w:val="008C53F0"/>
    <w:rsid w:val="008C62D5"/>
    <w:rsid w:val="008D2875"/>
    <w:rsid w:val="008D522D"/>
    <w:rsid w:val="008E3B60"/>
    <w:rsid w:val="008E5EC7"/>
    <w:rsid w:val="008E7E9D"/>
    <w:rsid w:val="008F0E9C"/>
    <w:rsid w:val="008F12B7"/>
    <w:rsid w:val="008F30F1"/>
    <w:rsid w:val="00900360"/>
    <w:rsid w:val="00905664"/>
    <w:rsid w:val="00912D5D"/>
    <w:rsid w:val="00915890"/>
    <w:rsid w:val="0092682F"/>
    <w:rsid w:val="009330F3"/>
    <w:rsid w:val="00946642"/>
    <w:rsid w:val="00951AF0"/>
    <w:rsid w:val="0096387D"/>
    <w:rsid w:val="00972E59"/>
    <w:rsid w:val="00990905"/>
    <w:rsid w:val="00991974"/>
    <w:rsid w:val="009A424E"/>
    <w:rsid w:val="009B094C"/>
    <w:rsid w:val="009B63AE"/>
    <w:rsid w:val="009C155C"/>
    <w:rsid w:val="009C517C"/>
    <w:rsid w:val="009D59C4"/>
    <w:rsid w:val="009F0A58"/>
    <w:rsid w:val="009F5335"/>
    <w:rsid w:val="00A020AB"/>
    <w:rsid w:val="00A368A5"/>
    <w:rsid w:val="00A56410"/>
    <w:rsid w:val="00A62F7B"/>
    <w:rsid w:val="00A650DA"/>
    <w:rsid w:val="00A66F4E"/>
    <w:rsid w:val="00A81D6A"/>
    <w:rsid w:val="00AA259E"/>
    <w:rsid w:val="00AB0732"/>
    <w:rsid w:val="00AB489E"/>
    <w:rsid w:val="00AB7FDD"/>
    <w:rsid w:val="00AC3FC9"/>
    <w:rsid w:val="00AF1F88"/>
    <w:rsid w:val="00B07122"/>
    <w:rsid w:val="00B0742C"/>
    <w:rsid w:val="00B32D23"/>
    <w:rsid w:val="00B33D80"/>
    <w:rsid w:val="00B34586"/>
    <w:rsid w:val="00B40EFA"/>
    <w:rsid w:val="00B47DD0"/>
    <w:rsid w:val="00B53BF6"/>
    <w:rsid w:val="00B55471"/>
    <w:rsid w:val="00B7099E"/>
    <w:rsid w:val="00B77E1E"/>
    <w:rsid w:val="00BC4818"/>
    <w:rsid w:val="00BC6030"/>
    <w:rsid w:val="00BC7338"/>
    <w:rsid w:val="00BD1280"/>
    <w:rsid w:val="00BD2D6C"/>
    <w:rsid w:val="00BD4A06"/>
    <w:rsid w:val="00BD5C2D"/>
    <w:rsid w:val="00BE544B"/>
    <w:rsid w:val="00BF57ED"/>
    <w:rsid w:val="00BF5C26"/>
    <w:rsid w:val="00C07210"/>
    <w:rsid w:val="00C10BC1"/>
    <w:rsid w:val="00C128EC"/>
    <w:rsid w:val="00C1486B"/>
    <w:rsid w:val="00C16235"/>
    <w:rsid w:val="00C224C6"/>
    <w:rsid w:val="00C3001A"/>
    <w:rsid w:val="00C33F23"/>
    <w:rsid w:val="00C35583"/>
    <w:rsid w:val="00C40191"/>
    <w:rsid w:val="00C50883"/>
    <w:rsid w:val="00C52F69"/>
    <w:rsid w:val="00C53AA9"/>
    <w:rsid w:val="00C54A44"/>
    <w:rsid w:val="00C55B08"/>
    <w:rsid w:val="00C63C11"/>
    <w:rsid w:val="00C74306"/>
    <w:rsid w:val="00C91F8F"/>
    <w:rsid w:val="00C972B5"/>
    <w:rsid w:val="00CA12AD"/>
    <w:rsid w:val="00CA5391"/>
    <w:rsid w:val="00CA5CBA"/>
    <w:rsid w:val="00CA5DDA"/>
    <w:rsid w:val="00CA70D7"/>
    <w:rsid w:val="00CA7CCD"/>
    <w:rsid w:val="00CA7CFE"/>
    <w:rsid w:val="00CB0543"/>
    <w:rsid w:val="00CB434B"/>
    <w:rsid w:val="00CB59A1"/>
    <w:rsid w:val="00CC008A"/>
    <w:rsid w:val="00CC1767"/>
    <w:rsid w:val="00CC61B6"/>
    <w:rsid w:val="00CC7C0B"/>
    <w:rsid w:val="00CD2629"/>
    <w:rsid w:val="00CD308F"/>
    <w:rsid w:val="00CE1371"/>
    <w:rsid w:val="00CE239B"/>
    <w:rsid w:val="00CE76F2"/>
    <w:rsid w:val="00CF0680"/>
    <w:rsid w:val="00CF1CB9"/>
    <w:rsid w:val="00D10F6A"/>
    <w:rsid w:val="00D150F2"/>
    <w:rsid w:val="00D2607A"/>
    <w:rsid w:val="00D3300C"/>
    <w:rsid w:val="00D36416"/>
    <w:rsid w:val="00D36DCE"/>
    <w:rsid w:val="00D45BB4"/>
    <w:rsid w:val="00D46B1A"/>
    <w:rsid w:val="00D659FB"/>
    <w:rsid w:val="00D65BC6"/>
    <w:rsid w:val="00D65CA5"/>
    <w:rsid w:val="00D81284"/>
    <w:rsid w:val="00D82983"/>
    <w:rsid w:val="00D90F4A"/>
    <w:rsid w:val="00D96215"/>
    <w:rsid w:val="00DB0482"/>
    <w:rsid w:val="00DB134D"/>
    <w:rsid w:val="00DD13C9"/>
    <w:rsid w:val="00DE3AC3"/>
    <w:rsid w:val="00DF32E0"/>
    <w:rsid w:val="00DF3CA0"/>
    <w:rsid w:val="00E0020E"/>
    <w:rsid w:val="00E0317E"/>
    <w:rsid w:val="00E031F8"/>
    <w:rsid w:val="00E04219"/>
    <w:rsid w:val="00E1276C"/>
    <w:rsid w:val="00E159BE"/>
    <w:rsid w:val="00E16431"/>
    <w:rsid w:val="00E234BD"/>
    <w:rsid w:val="00E352A9"/>
    <w:rsid w:val="00E365C7"/>
    <w:rsid w:val="00E508DD"/>
    <w:rsid w:val="00E6293E"/>
    <w:rsid w:val="00E64F2A"/>
    <w:rsid w:val="00E66E36"/>
    <w:rsid w:val="00E70E88"/>
    <w:rsid w:val="00E71783"/>
    <w:rsid w:val="00E850B4"/>
    <w:rsid w:val="00E87F68"/>
    <w:rsid w:val="00E9421B"/>
    <w:rsid w:val="00EA00C5"/>
    <w:rsid w:val="00EA3D57"/>
    <w:rsid w:val="00EA771A"/>
    <w:rsid w:val="00EB205C"/>
    <w:rsid w:val="00ED20BB"/>
    <w:rsid w:val="00ED2340"/>
    <w:rsid w:val="00ED4B32"/>
    <w:rsid w:val="00EF3235"/>
    <w:rsid w:val="00EF4EFD"/>
    <w:rsid w:val="00F04A70"/>
    <w:rsid w:val="00F0781D"/>
    <w:rsid w:val="00F10B54"/>
    <w:rsid w:val="00F148DE"/>
    <w:rsid w:val="00F24119"/>
    <w:rsid w:val="00F32842"/>
    <w:rsid w:val="00F32B24"/>
    <w:rsid w:val="00F37250"/>
    <w:rsid w:val="00F37E8A"/>
    <w:rsid w:val="00F41DAD"/>
    <w:rsid w:val="00F4657B"/>
    <w:rsid w:val="00F47886"/>
    <w:rsid w:val="00F51C7D"/>
    <w:rsid w:val="00F52EAA"/>
    <w:rsid w:val="00F61293"/>
    <w:rsid w:val="00F6553E"/>
    <w:rsid w:val="00F72506"/>
    <w:rsid w:val="00F72B39"/>
    <w:rsid w:val="00F7485A"/>
    <w:rsid w:val="00F74A69"/>
    <w:rsid w:val="00FB2824"/>
    <w:rsid w:val="00FB6469"/>
    <w:rsid w:val="00FD48ED"/>
    <w:rsid w:val="00FE4F78"/>
    <w:rsid w:val="00FF6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86C1C"/>
  <w15:chartTrackingRefBased/>
  <w15:docId w15:val="{7A253552-12CF-48BC-8595-3E6D1CF26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64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64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64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64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64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64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64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64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64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64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64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64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64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64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64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64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64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64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64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64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64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64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64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64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64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64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64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64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641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364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844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844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8443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44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443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77B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7B5F"/>
  </w:style>
  <w:style w:type="paragraph" w:styleId="Footer">
    <w:name w:val="footer"/>
    <w:basedOn w:val="Normal"/>
    <w:link w:val="FooterChar"/>
    <w:uiPriority w:val="99"/>
    <w:unhideWhenUsed/>
    <w:rsid w:val="00577B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7B5F"/>
  </w:style>
  <w:style w:type="paragraph" w:styleId="Revision">
    <w:name w:val="Revision"/>
    <w:hidden/>
    <w:uiPriority w:val="99"/>
    <w:semiHidden/>
    <w:rsid w:val="009C15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unisyd-my.sharepoint.com/personal/e_cox_sydney_edu_au/Documents/Desktop/PHN%20results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Sheet1!$H$2</c:f>
              <c:strCache>
                <c:ptCount val="1"/>
                <c:pt idx="0">
                  <c:v>Prevalence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(Sheet1!$A$3:$A$5,Sheet1!$A$7:$A$13)</c:f>
              <c:strCache>
                <c:ptCount val="10"/>
                <c:pt idx="0">
                  <c:v>Northern Sydney</c:v>
                </c:pt>
                <c:pt idx="1">
                  <c:v>Central and Eastern Sydney</c:v>
                </c:pt>
                <c:pt idx="2">
                  <c:v>North Coast</c:v>
                </c:pt>
                <c:pt idx="3">
                  <c:v>Nepean Blue Mountains</c:v>
                </c:pt>
                <c:pt idx="4">
                  <c:v>Hunter New England and Central Coast</c:v>
                </c:pt>
                <c:pt idx="5">
                  <c:v>South Eastern NSW</c:v>
                </c:pt>
                <c:pt idx="6">
                  <c:v>Murrumbidgee</c:v>
                </c:pt>
                <c:pt idx="7">
                  <c:v>Western Sydney</c:v>
                </c:pt>
                <c:pt idx="8">
                  <c:v>Western NSW</c:v>
                </c:pt>
                <c:pt idx="9">
                  <c:v>South Western Sydney</c:v>
                </c:pt>
              </c:strCache>
              <c:extLst/>
            </c:strRef>
          </c:cat>
          <c:val>
            <c:numRef>
              <c:f>(Sheet1!$H$3:$H$5,Sheet1!$H$7:$H$13)</c:f>
              <c:numCache>
                <c:formatCode>General</c:formatCode>
                <c:ptCount val="10"/>
                <c:pt idx="0">
                  <c:v>7.1</c:v>
                </c:pt>
                <c:pt idx="1">
                  <c:v>8.6</c:v>
                </c:pt>
                <c:pt idx="2">
                  <c:v>9.1999999999999993</c:v>
                </c:pt>
                <c:pt idx="3">
                  <c:v>10.1</c:v>
                </c:pt>
                <c:pt idx="4">
                  <c:v>10.4</c:v>
                </c:pt>
                <c:pt idx="5">
                  <c:v>11</c:v>
                </c:pt>
                <c:pt idx="6">
                  <c:v>11.6</c:v>
                </c:pt>
                <c:pt idx="7">
                  <c:v>11.5</c:v>
                </c:pt>
                <c:pt idx="8">
                  <c:v>12.2</c:v>
                </c:pt>
                <c:pt idx="9">
                  <c:v>12.4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0-9F45-4E9F-9134-B4C56FB9C83A}"/>
            </c:ext>
          </c:extLst>
        </c:ser>
        <c:ser>
          <c:idx val="2"/>
          <c:order val="2"/>
          <c:tx>
            <c:strRef>
              <c:f>Sheet1!$N$1</c:f>
              <c:strCache>
                <c:ptCount val="1"/>
                <c:pt idx="0">
                  <c:v>Type 2 diabetes prevalence (2018 NDSS data)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</c:spPr>
          <c:invertIfNegative val="0"/>
          <c:cat>
            <c:strLit>
              <c:ptCount val="10"/>
              <c:pt idx="0">
                <c:v>Northern Sydney</c:v>
              </c:pt>
              <c:pt idx="1">
                <c:v>Central and Eastern Sydney</c:v>
              </c:pt>
              <c:pt idx="2">
                <c:v>North Coast</c:v>
              </c:pt>
              <c:pt idx="3">
                <c:v>Nepean Blue Mountains</c:v>
              </c:pt>
              <c:pt idx="4">
                <c:v>Hunter New England and Central Coast</c:v>
              </c:pt>
              <c:pt idx="5">
                <c:v>South Eastern NSW</c:v>
              </c:pt>
              <c:pt idx="6">
                <c:v>Murrumbidgee</c:v>
              </c:pt>
              <c:pt idx="7">
                <c:v>Western Sydney</c:v>
              </c:pt>
              <c:pt idx="8">
                <c:v>Western NSW</c:v>
              </c:pt>
              <c:pt idx="9">
                <c:v>South Western Sydney</c:v>
              </c:pt>
              <c:extLst>
                <c:ext xmlns:c15="http://schemas.microsoft.com/office/drawing/2012/chart" uri="{02D57815-91ED-43cb-92C2-25804820EDAC}">
                  <c15:autoCat val="1"/>
                </c:ext>
              </c:extLst>
            </c:strLit>
          </c:cat>
          <c:val>
            <c:numRef>
              <c:f>(Sheet1!$N$3:$N$5,Sheet1!$N$7:$N$13)</c:f>
              <c:numCache>
                <c:formatCode>General</c:formatCode>
                <c:ptCount val="10"/>
                <c:pt idx="0">
                  <c:v>3.8</c:v>
                </c:pt>
                <c:pt idx="1">
                  <c:v>4.2</c:v>
                </c:pt>
                <c:pt idx="2">
                  <c:v>6.1</c:v>
                </c:pt>
                <c:pt idx="3">
                  <c:v>6.7</c:v>
                </c:pt>
                <c:pt idx="4">
                  <c:v>6.7</c:v>
                </c:pt>
                <c:pt idx="5">
                  <c:v>6.9</c:v>
                </c:pt>
                <c:pt idx="6">
                  <c:v>7.3</c:v>
                </c:pt>
                <c:pt idx="7">
                  <c:v>7.2</c:v>
                </c:pt>
                <c:pt idx="8">
                  <c:v>7.6</c:v>
                </c:pt>
                <c:pt idx="9">
                  <c:v>7.9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1-9F45-4E9F-9134-B4C56FB9C83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52"/>
        <c:axId val="1133641728"/>
        <c:axId val="1133647008"/>
      </c:barChart>
      <c:lineChart>
        <c:grouping val="standard"/>
        <c:varyColors val="0"/>
        <c:ser>
          <c:idx val="1"/>
          <c:order val="1"/>
          <c:tx>
            <c:strRef>
              <c:f>Sheet1!$I$2</c:f>
              <c:strCache>
                <c:ptCount val="1"/>
                <c:pt idx="0">
                  <c:v>Incidence</c:v>
                </c:pt>
              </c:strCache>
            </c:strRef>
          </c:tx>
          <c:spPr>
            <a:ln w="31750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Lit>
              <c:ptCount val="10"/>
              <c:pt idx="0">
                <c:v>1</c:v>
              </c:pt>
              <c:pt idx="1">
                <c:v>2</c:v>
              </c:pt>
              <c:pt idx="2">
                <c:v>3</c:v>
              </c:pt>
              <c:pt idx="3">
                <c:v>5</c:v>
              </c:pt>
              <c:pt idx="4">
                <c:v>6</c:v>
              </c:pt>
              <c:pt idx="5">
                <c:v>7</c:v>
              </c:pt>
              <c:pt idx="6">
                <c:v>8</c:v>
              </c:pt>
              <c:pt idx="7">
                <c:v>9</c:v>
              </c:pt>
              <c:pt idx="8">
                <c:v>10</c:v>
              </c:pt>
              <c:pt idx="9">
                <c:v>11</c:v>
              </c:pt>
              <c:extLst>
                <c:ext xmlns:c15="http://schemas.microsoft.com/office/drawing/2012/chart" uri="{02D57815-91ED-43cb-92C2-25804820EDAC}">
                  <c15:autoCat val="1"/>
                </c:ext>
              </c:extLst>
            </c:strLit>
          </c:cat>
          <c:val>
            <c:numRef>
              <c:f>(Sheet1!$I$3:$I$5,Sheet1!$I$7:$I$13)</c:f>
              <c:numCache>
                <c:formatCode>General</c:formatCode>
                <c:ptCount val="10"/>
                <c:pt idx="0">
                  <c:v>4.8</c:v>
                </c:pt>
                <c:pt idx="1">
                  <c:v>5.62</c:v>
                </c:pt>
                <c:pt idx="2">
                  <c:v>5.36</c:v>
                </c:pt>
                <c:pt idx="3">
                  <c:v>7.77</c:v>
                </c:pt>
                <c:pt idx="4">
                  <c:v>6.57</c:v>
                </c:pt>
                <c:pt idx="5">
                  <c:v>6.66</c:v>
                </c:pt>
                <c:pt idx="6">
                  <c:v>8.42</c:v>
                </c:pt>
                <c:pt idx="7">
                  <c:v>8.58</c:v>
                </c:pt>
                <c:pt idx="8">
                  <c:v>8.9499999999999993</c:v>
                </c:pt>
                <c:pt idx="9">
                  <c:v>8.25</c:v>
                </c:pt>
              </c:numCache>
              <c:extLst/>
            </c:numRef>
          </c:val>
          <c:smooth val="0"/>
          <c:extLst>
            <c:ext xmlns:c16="http://schemas.microsoft.com/office/drawing/2014/chart" uri="{C3380CC4-5D6E-409C-BE32-E72D297353CC}">
              <c16:uniqueId val="{00000002-9F45-4E9F-9134-B4C56FB9C83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063905328"/>
        <c:axId val="818794719"/>
      </c:lineChart>
      <c:catAx>
        <c:axId val="11336417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133647008"/>
        <c:crosses val="autoZero"/>
        <c:auto val="1"/>
        <c:lblAlgn val="ctr"/>
        <c:lblOffset val="100"/>
        <c:noMultiLvlLbl val="0"/>
      </c:catAx>
      <c:valAx>
        <c:axId val="11336470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AU"/>
                  <a:t>Proportion (%)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tx2"/>
                  </a:solidFill>
                  <a:latin typeface="+mn-lt"/>
                  <a:ea typeface="+mn-ea"/>
                  <a:cs typeface="+mn-cs"/>
                </a:defRPr>
              </a:pPr>
              <a:endParaRPr lang="en-A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133641728"/>
        <c:crosses val="autoZero"/>
        <c:crossBetween val="between"/>
      </c:valAx>
      <c:valAx>
        <c:axId val="818794719"/>
        <c:scaling>
          <c:orientation val="minMax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AU"/>
                  <a:t>Incidence rate (per 1000 person years)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tx2"/>
                  </a:solidFill>
                  <a:latin typeface="+mn-lt"/>
                  <a:ea typeface="+mn-ea"/>
                  <a:cs typeface="+mn-cs"/>
                </a:defRPr>
              </a:pPr>
              <a:endParaRPr lang="en-A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63905328"/>
        <c:crosses val="max"/>
        <c:crossBetween val="between"/>
      </c:valAx>
      <c:catAx>
        <c:axId val="1063905328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818794719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26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dk1">
            <a:lumMod val="75000"/>
            <a:lumOff val="2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dk1">
            <a:lumMod val="75000"/>
            <a:lumOff val="25000"/>
          </a:schemeClr>
        </a:solidFill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2b3e37e-8171-485d-b10b-38dae7ed14a8}" enabled="0" method="" siteId="{82b3e37e-8171-485d-b10b-38dae7ed14a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Cox</dc:creator>
  <cp:keywords/>
  <dc:description/>
  <cp:lastModifiedBy>Emma Cox</cp:lastModifiedBy>
  <cp:revision>130</cp:revision>
  <dcterms:created xsi:type="dcterms:W3CDTF">2026-02-26T22:22:00Z</dcterms:created>
  <dcterms:modified xsi:type="dcterms:W3CDTF">2026-03-08T23:34:00Z</dcterms:modified>
</cp:coreProperties>
</file>