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24EA" w14:textId="77777777" w:rsidR="0005029C" w:rsidRPr="008D4028" w:rsidRDefault="0005029C" w:rsidP="0005029C">
      <w:pPr>
        <w:shd w:val="clear" w:color="auto" w:fill="FFFFFF"/>
        <w:jc w:val="both"/>
        <w:textAlignment w:val="baseline"/>
        <w:rPr>
          <w:rFonts w:ascii="Arial" w:eastAsia="Times New Roman" w:hAnsi="Arial" w:cs="Arial"/>
          <w:b/>
          <w:bCs/>
          <w:color w:val="000000"/>
          <w:kern w:val="0"/>
          <w:sz w:val="22"/>
          <w:szCs w:val="22"/>
          <w:lang w:eastAsia="en-GB"/>
          <w14:ligatures w14:val="none"/>
        </w:rPr>
      </w:pPr>
      <w:r w:rsidRPr="0005029C">
        <w:rPr>
          <w:rFonts w:ascii="Arial" w:eastAsia="Times New Roman" w:hAnsi="Arial" w:cs="Arial"/>
          <w:b/>
          <w:bCs/>
          <w:color w:val="000000"/>
          <w:kern w:val="0"/>
          <w:sz w:val="22"/>
          <w:szCs w:val="22"/>
          <w:lang w:eastAsia="en-GB"/>
          <w14:ligatures w14:val="none"/>
        </w:rPr>
        <w:t xml:space="preserve">Glucagon-Like-Peptide-1 Receptor Agonists Are Effective </w:t>
      </w:r>
      <w:proofErr w:type="gramStart"/>
      <w:r w:rsidRPr="0005029C">
        <w:rPr>
          <w:rFonts w:ascii="Arial" w:eastAsia="Times New Roman" w:hAnsi="Arial" w:cs="Arial"/>
          <w:b/>
          <w:bCs/>
          <w:color w:val="000000"/>
          <w:kern w:val="0"/>
          <w:sz w:val="22"/>
          <w:szCs w:val="22"/>
          <w:lang w:eastAsia="en-GB"/>
          <w14:ligatures w14:val="none"/>
        </w:rPr>
        <w:t>In</w:t>
      </w:r>
      <w:proofErr w:type="gramEnd"/>
      <w:r w:rsidRPr="0005029C">
        <w:rPr>
          <w:rFonts w:ascii="Arial" w:eastAsia="Times New Roman" w:hAnsi="Arial" w:cs="Arial"/>
          <w:b/>
          <w:bCs/>
          <w:color w:val="000000"/>
          <w:kern w:val="0"/>
          <w:sz w:val="22"/>
          <w:szCs w:val="22"/>
          <w:lang w:eastAsia="en-GB"/>
          <w14:ligatures w14:val="none"/>
        </w:rPr>
        <w:t xml:space="preserve"> Patients </w:t>
      </w:r>
      <w:proofErr w:type="gramStart"/>
      <w:r w:rsidRPr="0005029C">
        <w:rPr>
          <w:rFonts w:ascii="Arial" w:eastAsia="Times New Roman" w:hAnsi="Arial" w:cs="Arial"/>
          <w:b/>
          <w:bCs/>
          <w:color w:val="000000"/>
          <w:kern w:val="0"/>
          <w:sz w:val="22"/>
          <w:szCs w:val="22"/>
          <w:lang w:eastAsia="en-GB"/>
          <w14:ligatures w14:val="none"/>
        </w:rPr>
        <w:t>With</w:t>
      </w:r>
      <w:proofErr w:type="gramEnd"/>
      <w:r w:rsidRPr="0005029C">
        <w:rPr>
          <w:rFonts w:ascii="Arial" w:eastAsia="Times New Roman" w:hAnsi="Arial" w:cs="Arial"/>
          <w:b/>
          <w:bCs/>
          <w:color w:val="000000"/>
          <w:kern w:val="0"/>
          <w:sz w:val="22"/>
          <w:szCs w:val="22"/>
          <w:lang w:eastAsia="en-GB"/>
          <w14:ligatures w14:val="none"/>
        </w:rPr>
        <w:t xml:space="preserve"> Cystic Fibrosis</w:t>
      </w:r>
    </w:p>
    <w:p w14:paraId="5BE45D4D" w14:textId="77777777" w:rsidR="0005029C" w:rsidRPr="0005029C" w:rsidRDefault="0005029C" w:rsidP="0005029C">
      <w:pPr>
        <w:shd w:val="clear" w:color="auto" w:fill="FFFFFF"/>
        <w:jc w:val="both"/>
        <w:textAlignment w:val="baseline"/>
        <w:rPr>
          <w:rFonts w:ascii="Arial" w:eastAsia="Times New Roman" w:hAnsi="Arial" w:cs="Arial"/>
          <w:color w:val="000000"/>
          <w:kern w:val="0"/>
          <w:sz w:val="22"/>
          <w:szCs w:val="22"/>
          <w:lang w:eastAsia="en-GB"/>
          <w14:ligatures w14:val="none"/>
        </w:rPr>
      </w:pPr>
    </w:p>
    <w:p w14:paraId="26B0E85F" w14:textId="77777777" w:rsidR="0005029C" w:rsidRPr="008D4028" w:rsidRDefault="0005029C" w:rsidP="0005029C">
      <w:pPr>
        <w:shd w:val="clear" w:color="auto" w:fill="FFFFFF"/>
        <w:jc w:val="both"/>
        <w:textAlignment w:val="baseline"/>
        <w:rPr>
          <w:rFonts w:ascii="Arial" w:eastAsia="Times New Roman" w:hAnsi="Arial" w:cs="Arial"/>
          <w:color w:val="000000"/>
          <w:kern w:val="0"/>
          <w:sz w:val="22"/>
          <w:szCs w:val="22"/>
          <w:lang w:eastAsia="en-GB"/>
          <w14:ligatures w14:val="none"/>
        </w:rPr>
      </w:pPr>
      <w:r w:rsidRPr="0005029C">
        <w:rPr>
          <w:rFonts w:ascii="Arial" w:eastAsia="Times New Roman" w:hAnsi="Arial" w:cs="Arial"/>
          <w:color w:val="000000"/>
          <w:kern w:val="0"/>
          <w:sz w:val="22"/>
          <w:szCs w:val="22"/>
          <w:lang w:eastAsia="en-GB"/>
          <w14:ligatures w14:val="none"/>
        </w:rPr>
        <w:t xml:space="preserve">Guidelines for cystic fibrosis related diabetes (CFRD) suggest management with insulin monotherapy to reduce respiratory infection and aide in weight gain. Since the introduction of highly effective modulator therapy, respiratory function has </w:t>
      </w:r>
      <w:proofErr w:type="gramStart"/>
      <w:r w:rsidRPr="0005029C">
        <w:rPr>
          <w:rFonts w:ascii="Arial" w:eastAsia="Times New Roman" w:hAnsi="Arial" w:cs="Arial"/>
          <w:color w:val="000000"/>
          <w:kern w:val="0"/>
          <w:sz w:val="22"/>
          <w:szCs w:val="22"/>
          <w:lang w:eastAsia="en-GB"/>
          <w14:ligatures w14:val="none"/>
        </w:rPr>
        <w:t>improved</w:t>
      </w:r>
      <w:proofErr w:type="gramEnd"/>
      <w:r w:rsidRPr="0005029C">
        <w:rPr>
          <w:rFonts w:ascii="Arial" w:eastAsia="Times New Roman" w:hAnsi="Arial" w:cs="Arial"/>
          <w:color w:val="000000"/>
          <w:kern w:val="0"/>
          <w:sz w:val="22"/>
          <w:szCs w:val="22"/>
          <w:lang w:eastAsia="en-GB"/>
          <w14:ligatures w14:val="none"/>
        </w:rPr>
        <w:t xml:space="preserve"> and obesity increased. Glucagon like peptide 1 receptor agonist (GLP-1RA) are a logical choice given the demonstrated incretin defect in CFRD. The effect of GLP-1RA on glycaemia and pulmonary function in this population remains unclear.</w:t>
      </w:r>
    </w:p>
    <w:p w14:paraId="07DF2BED" w14:textId="77777777" w:rsidR="0005029C" w:rsidRPr="0005029C" w:rsidRDefault="0005029C" w:rsidP="0005029C">
      <w:pPr>
        <w:shd w:val="clear" w:color="auto" w:fill="FFFFFF"/>
        <w:jc w:val="both"/>
        <w:textAlignment w:val="baseline"/>
        <w:rPr>
          <w:rFonts w:ascii="Arial" w:eastAsia="Times New Roman" w:hAnsi="Arial" w:cs="Arial"/>
          <w:color w:val="000000"/>
          <w:kern w:val="0"/>
          <w:sz w:val="22"/>
          <w:szCs w:val="22"/>
          <w:lang w:eastAsia="en-GB"/>
          <w14:ligatures w14:val="none"/>
        </w:rPr>
      </w:pPr>
    </w:p>
    <w:p w14:paraId="6BCF434D" w14:textId="77777777" w:rsidR="0005029C" w:rsidRPr="008D4028" w:rsidRDefault="0005029C" w:rsidP="0005029C">
      <w:pPr>
        <w:shd w:val="clear" w:color="auto" w:fill="FFFFFF"/>
        <w:jc w:val="both"/>
        <w:textAlignment w:val="baseline"/>
        <w:rPr>
          <w:rFonts w:ascii="Arial" w:eastAsia="Times New Roman" w:hAnsi="Arial" w:cs="Arial"/>
          <w:color w:val="000000"/>
          <w:kern w:val="0"/>
          <w:sz w:val="22"/>
          <w:szCs w:val="22"/>
          <w:lang w:eastAsia="en-GB"/>
          <w14:ligatures w14:val="none"/>
        </w:rPr>
      </w:pPr>
      <w:r w:rsidRPr="0005029C">
        <w:rPr>
          <w:rFonts w:ascii="Arial" w:eastAsia="Times New Roman" w:hAnsi="Arial" w:cs="Arial"/>
          <w:color w:val="000000"/>
          <w:kern w:val="0"/>
          <w:sz w:val="22"/>
          <w:szCs w:val="22"/>
          <w:lang w:eastAsia="en-GB"/>
          <w14:ligatures w14:val="none"/>
        </w:rPr>
        <w:t xml:space="preserve">We performed a retrospective longitudinal cohort study comparing pulmonary function and glycaemia between individuals who received either GLP-1RA therapy or </w:t>
      </w:r>
      <w:proofErr w:type="gramStart"/>
      <w:r w:rsidRPr="0005029C">
        <w:rPr>
          <w:rFonts w:ascii="Arial" w:eastAsia="Times New Roman" w:hAnsi="Arial" w:cs="Arial"/>
          <w:color w:val="000000"/>
          <w:kern w:val="0"/>
          <w:sz w:val="22"/>
          <w:szCs w:val="22"/>
          <w:lang w:eastAsia="en-GB"/>
          <w14:ligatures w14:val="none"/>
        </w:rPr>
        <w:t>continued on</w:t>
      </w:r>
      <w:proofErr w:type="gramEnd"/>
      <w:r w:rsidRPr="0005029C">
        <w:rPr>
          <w:rFonts w:ascii="Arial" w:eastAsia="Times New Roman" w:hAnsi="Arial" w:cs="Arial"/>
          <w:color w:val="000000"/>
          <w:kern w:val="0"/>
          <w:sz w:val="22"/>
          <w:szCs w:val="22"/>
          <w:lang w:eastAsia="en-GB"/>
          <w14:ligatures w14:val="none"/>
        </w:rPr>
        <w:t xml:space="preserve"> insulin monotherapy for CFRD. Pulmonary function and glycaemia were compared from 24 months prior and 3 monthly for 12 months after initiation of GLP-1RA or continuation of insulin monotherapy.  </w:t>
      </w:r>
    </w:p>
    <w:p w14:paraId="21A4416E" w14:textId="77777777" w:rsidR="0005029C" w:rsidRPr="008D4028" w:rsidRDefault="0005029C" w:rsidP="0005029C">
      <w:pPr>
        <w:shd w:val="clear" w:color="auto" w:fill="FFFFFF"/>
        <w:jc w:val="both"/>
        <w:textAlignment w:val="baseline"/>
        <w:rPr>
          <w:rFonts w:ascii="Arial" w:eastAsia="Times New Roman" w:hAnsi="Arial" w:cs="Arial"/>
          <w:color w:val="000000"/>
          <w:kern w:val="0"/>
          <w:sz w:val="22"/>
          <w:szCs w:val="22"/>
          <w:lang w:eastAsia="en-GB"/>
          <w14:ligatures w14:val="none"/>
        </w:rPr>
      </w:pPr>
    </w:p>
    <w:p w14:paraId="78CD9D87" w14:textId="03212BD3" w:rsidR="0005029C" w:rsidRPr="008D4028" w:rsidRDefault="0005029C" w:rsidP="0005029C">
      <w:pPr>
        <w:shd w:val="clear" w:color="auto" w:fill="FFFFFF"/>
        <w:jc w:val="both"/>
        <w:textAlignment w:val="baseline"/>
        <w:rPr>
          <w:rFonts w:ascii="Arial" w:eastAsia="Times New Roman" w:hAnsi="Arial" w:cs="Arial"/>
          <w:color w:val="000000"/>
          <w:kern w:val="0"/>
          <w:sz w:val="22"/>
          <w:szCs w:val="22"/>
          <w:lang w:eastAsia="en-GB"/>
          <w14:ligatures w14:val="none"/>
        </w:rPr>
      </w:pPr>
      <w:r w:rsidRPr="008D4028">
        <w:rPr>
          <w:rFonts w:ascii="Arial" w:eastAsia="Times New Roman" w:hAnsi="Arial" w:cs="Arial"/>
          <w:noProof/>
          <w:color w:val="000000"/>
          <w:sz w:val="22"/>
          <w:szCs w:val="22"/>
          <w:bdr w:val="none" w:sz="0" w:space="0" w:color="auto" w:frame="1"/>
          <w:lang w:eastAsia="en-GB"/>
        </w:rPr>
        <w:drawing>
          <wp:inline distT="0" distB="0" distL="0" distR="0" wp14:anchorId="2A9AE0CC" wp14:editId="2ABEA134">
            <wp:extent cx="5731510" cy="2592070"/>
            <wp:effectExtent l="0" t="0" r="0" b="0"/>
            <wp:docPr id="5" name="Content Placeholder 4" descr="A comparison of the same graph&#10;&#10;Description automatically generated with medium confidence">
              <a:extLst xmlns:a="http://schemas.openxmlformats.org/drawingml/2006/main">
                <a:ext uri="{FF2B5EF4-FFF2-40B4-BE49-F238E27FC236}">
                  <a16:creationId xmlns:a16="http://schemas.microsoft.com/office/drawing/2014/main" id="{BEE9632E-A3D5-CB03-ED52-46CEB9519B7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comparison of the same graph&#10;&#10;Description automatically generated with medium confidence">
                      <a:extLst>
                        <a:ext uri="{FF2B5EF4-FFF2-40B4-BE49-F238E27FC236}">
                          <a16:creationId xmlns:a16="http://schemas.microsoft.com/office/drawing/2014/main" id="{BEE9632E-A3D5-CB03-ED52-46CEB9519B72}"/>
                        </a:ext>
                      </a:extLst>
                    </pic:cNvPr>
                    <pic:cNvPicPr>
                      <a:picLocks noGrp="1" noChangeAspect="1"/>
                    </pic:cNvPicPr>
                  </pic:nvPicPr>
                  <pic:blipFill>
                    <a:blip r:embed="rId4"/>
                    <a:stretch>
                      <a:fillRect/>
                    </a:stretch>
                  </pic:blipFill>
                  <pic:spPr>
                    <a:xfrm>
                      <a:off x="0" y="0"/>
                      <a:ext cx="5731510" cy="2592070"/>
                    </a:xfrm>
                    <a:prstGeom prst="rect">
                      <a:avLst/>
                    </a:prstGeom>
                  </pic:spPr>
                </pic:pic>
              </a:graphicData>
            </a:graphic>
          </wp:inline>
        </w:drawing>
      </w:r>
    </w:p>
    <w:p w14:paraId="3C70D6EC" w14:textId="77777777" w:rsidR="0005029C" w:rsidRPr="0005029C" w:rsidRDefault="0005029C" w:rsidP="0005029C">
      <w:pPr>
        <w:shd w:val="clear" w:color="auto" w:fill="FFFFFF"/>
        <w:jc w:val="both"/>
        <w:textAlignment w:val="baseline"/>
        <w:rPr>
          <w:rFonts w:ascii="Arial" w:eastAsia="Times New Roman" w:hAnsi="Arial" w:cs="Arial"/>
          <w:color w:val="000000"/>
          <w:kern w:val="0"/>
          <w:sz w:val="22"/>
          <w:szCs w:val="22"/>
          <w:lang w:eastAsia="en-GB"/>
          <w14:ligatures w14:val="none"/>
        </w:rPr>
      </w:pPr>
    </w:p>
    <w:p w14:paraId="0955C30F" w14:textId="4FF2011D" w:rsidR="0005029C" w:rsidRPr="0005029C" w:rsidRDefault="0005029C" w:rsidP="0005029C">
      <w:pPr>
        <w:shd w:val="clear" w:color="auto" w:fill="FFFFFF"/>
        <w:jc w:val="both"/>
        <w:textAlignment w:val="baseline"/>
        <w:rPr>
          <w:rFonts w:ascii="Arial" w:eastAsia="Times New Roman" w:hAnsi="Arial" w:cs="Arial"/>
          <w:color w:val="000000"/>
          <w:kern w:val="0"/>
          <w:sz w:val="22"/>
          <w:szCs w:val="22"/>
          <w:lang w:eastAsia="en-GB"/>
          <w14:ligatures w14:val="none"/>
        </w:rPr>
      </w:pPr>
      <w:r w:rsidRPr="0005029C">
        <w:rPr>
          <w:rFonts w:ascii="Arial" w:eastAsia="Times New Roman" w:hAnsi="Arial" w:cs="Arial"/>
          <w:color w:val="000000"/>
          <w:kern w:val="0"/>
          <w:sz w:val="22"/>
          <w:szCs w:val="22"/>
          <w:lang w:eastAsia="en-GB"/>
          <w14:ligatures w14:val="none"/>
        </w:rPr>
        <w:t xml:space="preserve">10 </w:t>
      </w:r>
      <w:proofErr w:type="spellStart"/>
      <w:r w:rsidRPr="0005029C">
        <w:rPr>
          <w:rFonts w:ascii="Arial" w:eastAsia="Times New Roman" w:hAnsi="Arial" w:cs="Arial"/>
          <w:color w:val="000000"/>
          <w:kern w:val="0"/>
          <w:sz w:val="22"/>
          <w:szCs w:val="22"/>
          <w:lang w:eastAsia="en-GB"/>
          <w14:ligatures w14:val="none"/>
        </w:rPr>
        <w:t>pwCFRD</w:t>
      </w:r>
      <w:proofErr w:type="spellEnd"/>
      <w:r w:rsidRPr="0005029C">
        <w:rPr>
          <w:rFonts w:ascii="Arial" w:eastAsia="Times New Roman" w:hAnsi="Arial" w:cs="Arial"/>
          <w:color w:val="000000"/>
          <w:kern w:val="0"/>
          <w:sz w:val="22"/>
          <w:szCs w:val="22"/>
          <w:lang w:eastAsia="en-GB"/>
          <w14:ligatures w14:val="none"/>
        </w:rPr>
        <w:t xml:space="preserve"> using GLP-1RA, 15 insulin treated </w:t>
      </w:r>
      <w:proofErr w:type="spellStart"/>
      <w:r w:rsidRPr="0005029C">
        <w:rPr>
          <w:rFonts w:ascii="Arial" w:eastAsia="Times New Roman" w:hAnsi="Arial" w:cs="Arial"/>
          <w:color w:val="000000"/>
          <w:kern w:val="0"/>
          <w:sz w:val="22"/>
          <w:szCs w:val="22"/>
          <w:lang w:eastAsia="en-GB"/>
          <w14:ligatures w14:val="none"/>
        </w:rPr>
        <w:t>pwCFRD</w:t>
      </w:r>
      <w:proofErr w:type="spellEnd"/>
      <w:r w:rsidRPr="0005029C">
        <w:rPr>
          <w:rFonts w:ascii="Arial" w:eastAsia="Times New Roman" w:hAnsi="Arial" w:cs="Arial"/>
          <w:color w:val="000000"/>
          <w:kern w:val="0"/>
          <w:sz w:val="22"/>
          <w:szCs w:val="22"/>
          <w:lang w:eastAsia="en-GB"/>
          <w14:ligatures w14:val="none"/>
        </w:rPr>
        <w:t xml:space="preserve"> were identified. Forced Expiratory volume (FEV1) was stable for the 24 months prior to baseline measurement in both groups. The FEV1 in the GLP-1 group was significantly increased over the 12 months following initiation compared to control (p=0.002). At 6 months, the FEV1 increased by 204ml more than control. At 6 months, HbA1c reduced (-1.7%, p=0.017), time in range increased (+29%, p=0.016) and the total daily insulin dose reduced (-12.5 units, p=0.004) in GLP-1 group, all measures were unchanged in the control group.</w:t>
      </w:r>
    </w:p>
    <w:p w14:paraId="3A28C116" w14:textId="77777777" w:rsidR="0005029C" w:rsidRPr="0005029C" w:rsidRDefault="0005029C" w:rsidP="0005029C">
      <w:pPr>
        <w:shd w:val="clear" w:color="auto" w:fill="FFFFFF"/>
        <w:jc w:val="both"/>
        <w:textAlignment w:val="baseline"/>
        <w:rPr>
          <w:rFonts w:ascii="Arial" w:eastAsia="Times New Roman" w:hAnsi="Arial" w:cs="Arial"/>
          <w:color w:val="000000"/>
          <w:kern w:val="0"/>
          <w:sz w:val="22"/>
          <w:szCs w:val="22"/>
          <w:lang w:eastAsia="en-GB"/>
          <w14:ligatures w14:val="none"/>
        </w:rPr>
      </w:pPr>
      <w:r w:rsidRPr="0005029C">
        <w:rPr>
          <w:rFonts w:ascii="Arial" w:eastAsia="Times New Roman" w:hAnsi="Arial" w:cs="Arial"/>
          <w:color w:val="000000"/>
          <w:kern w:val="0"/>
          <w:sz w:val="22"/>
          <w:szCs w:val="22"/>
          <w:lang w:eastAsia="en-GB"/>
          <w14:ligatures w14:val="none"/>
        </w:rPr>
        <w:t> </w:t>
      </w:r>
    </w:p>
    <w:p w14:paraId="48842A08" w14:textId="36D9D71C" w:rsidR="0005029C" w:rsidRPr="0005029C" w:rsidRDefault="0005029C" w:rsidP="0005029C">
      <w:pPr>
        <w:shd w:val="clear" w:color="auto" w:fill="FFFFFF"/>
        <w:jc w:val="both"/>
        <w:textAlignment w:val="baseline"/>
        <w:rPr>
          <w:rFonts w:ascii="Arial" w:eastAsia="Times New Roman" w:hAnsi="Arial" w:cs="Arial"/>
          <w:color w:val="000000"/>
          <w:kern w:val="0"/>
          <w:sz w:val="22"/>
          <w:szCs w:val="22"/>
          <w:lang w:eastAsia="en-GB"/>
          <w14:ligatures w14:val="none"/>
        </w:rPr>
      </w:pPr>
      <w:r w:rsidRPr="0005029C">
        <w:rPr>
          <w:rFonts w:ascii="Arial" w:eastAsia="Times New Roman" w:hAnsi="Arial" w:cs="Arial"/>
          <w:color w:val="000000"/>
          <w:kern w:val="0"/>
          <w:sz w:val="22"/>
          <w:szCs w:val="22"/>
          <w:lang w:eastAsia="en-GB"/>
          <w14:ligatures w14:val="none"/>
        </w:rPr>
        <w:t xml:space="preserve">In </w:t>
      </w:r>
      <w:proofErr w:type="spellStart"/>
      <w:r w:rsidRPr="0005029C">
        <w:rPr>
          <w:rFonts w:ascii="Arial" w:eastAsia="Times New Roman" w:hAnsi="Arial" w:cs="Arial"/>
          <w:color w:val="000000"/>
          <w:kern w:val="0"/>
          <w:sz w:val="22"/>
          <w:szCs w:val="22"/>
          <w:lang w:eastAsia="en-GB"/>
          <w14:ligatures w14:val="none"/>
        </w:rPr>
        <w:t>pwCFRD</w:t>
      </w:r>
      <w:proofErr w:type="spellEnd"/>
      <w:r w:rsidRPr="0005029C">
        <w:rPr>
          <w:rFonts w:ascii="Arial" w:eastAsia="Times New Roman" w:hAnsi="Arial" w:cs="Arial"/>
          <w:color w:val="000000"/>
          <w:kern w:val="0"/>
          <w:sz w:val="22"/>
          <w:szCs w:val="22"/>
          <w:lang w:eastAsia="en-GB"/>
          <w14:ligatures w14:val="none"/>
        </w:rPr>
        <w:t xml:space="preserve"> treated with maximal modulator therapy, GLP-1</w:t>
      </w:r>
      <w:r w:rsidRPr="008D4028">
        <w:rPr>
          <w:rFonts w:ascii="Arial" w:eastAsia="Times New Roman" w:hAnsi="Arial" w:cs="Arial"/>
          <w:color w:val="000000"/>
          <w:kern w:val="0"/>
          <w:sz w:val="22"/>
          <w:szCs w:val="22"/>
          <w:lang w:eastAsia="en-GB"/>
          <w14:ligatures w14:val="none"/>
        </w:rPr>
        <w:t>RA</w:t>
      </w:r>
      <w:r w:rsidRPr="0005029C">
        <w:rPr>
          <w:rFonts w:ascii="Arial" w:eastAsia="Times New Roman" w:hAnsi="Arial" w:cs="Arial"/>
          <w:color w:val="000000"/>
          <w:kern w:val="0"/>
          <w:sz w:val="22"/>
          <w:szCs w:val="22"/>
          <w:lang w:eastAsia="en-GB"/>
          <w14:ligatures w14:val="none"/>
        </w:rPr>
        <w:t xml:space="preserve"> therapy was associated with clinically meaningful improvement in pulmonary function compared to non-GLP-1</w:t>
      </w:r>
      <w:r w:rsidRPr="008D4028">
        <w:rPr>
          <w:rFonts w:ascii="Arial" w:eastAsia="Times New Roman" w:hAnsi="Arial" w:cs="Arial"/>
          <w:color w:val="000000"/>
          <w:kern w:val="0"/>
          <w:sz w:val="22"/>
          <w:szCs w:val="22"/>
          <w:lang w:eastAsia="en-GB"/>
          <w14:ligatures w14:val="none"/>
        </w:rPr>
        <w:t>RA</w:t>
      </w:r>
      <w:r w:rsidRPr="0005029C">
        <w:rPr>
          <w:rFonts w:ascii="Arial" w:eastAsia="Times New Roman" w:hAnsi="Arial" w:cs="Arial"/>
          <w:color w:val="000000"/>
          <w:kern w:val="0"/>
          <w:sz w:val="22"/>
          <w:szCs w:val="22"/>
          <w:lang w:eastAsia="en-GB"/>
          <w14:ligatures w14:val="none"/>
        </w:rPr>
        <w:t xml:space="preserve"> exposed individuals. GLP-1RA therapy was associated with improved glycaemia.</w:t>
      </w:r>
    </w:p>
    <w:p w14:paraId="6703659E" w14:textId="77777777" w:rsidR="00333F2B" w:rsidRPr="008D4028" w:rsidRDefault="00333F2B">
      <w:pPr>
        <w:rPr>
          <w:rFonts w:ascii="Arial" w:hAnsi="Arial" w:cs="Arial"/>
          <w:sz w:val="22"/>
          <w:szCs w:val="22"/>
        </w:rPr>
      </w:pPr>
    </w:p>
    <w:sectPr w:rsidR="00333F2B" w:rsidRPr="008D4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9C"/>
    <w:rsid w:val="0005029C"/>
    <w:rsid w:val="00333F2B"/>
    <w:rsid w:val="00804792"/>
    <w:rsid w:val="008D4028"/>
    <w:rsid w:val="00C74A27"/>
    <w:rsid w:val="00D44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259BDB6"/>
  <w15:chartTrackingRefBased/>
  <w15:docId w15:val="{A95CEDCA-A731-0044-8268-F0FB01FF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2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2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2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2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29C"/>
    <w:rPr>
      <w:rFonts w:eastAsiaTheme="majorEastAsia" w:cstheme="majorBidi"/>
      <w:color w:val="272727" w:themeColor="text1" w:themeTint="D8"/>
    </w:rPr>
  </w:style>
  <w:style w:type="paragraph" w:styleId="Title">
    <w:name w:val="Title"/>
    <w:basedOn w:val="Normal"/>
    <w:next w:val="Normal"/>
    <w:link w:val="TitleChar"/>
    <w:uiPriority w:val="10"/>
    <w:qFormat/>
    <w:rsid w:val="000502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2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2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029C"/>
    <w:rPr>
      <w:i/>
      <w:iCs/>
      <w:color w:val="404040" w:themeColor="text1" w:themeTint="BF"/>
    </w:rPr>
  </w:style>
  <w:style w:type="paragraph" w:styleId="ListParagraph">
    <w:name w:val="List Paragraph"/>
    <w:basedOn w:val="Normal"/>
    <w:uiPriority w:val="34"/>
    <w:qFormat/>
    <w:rsid w:val="0005029C"/>
    <w:pPr>
      <w:ind w:left="720"/>
      <w:contextualSpacing/>
    </w:pPr>
  </w:style>
  <w:style w:type="character" w:styleId="IntenseEmphasis">
    <w:name w:val="Intense Emphasis"/>
    <w:basedOn w:val="DefaultParagraphFont"/>
    <w:uiPriority w:val="21"/>
    <w:qFormat/>
    <w:rsid w:val="0005029C"/>
    <w:rPr>
      <w:i/>
      <w:iCs/>
      <w:color w:val="0F4761" w:themeColor="accent1" w:themeShade="BF"/>
    </w:rPr>
  </w:style>
  <w:style w:type="paragraph" w:styleId="IntenseQuote">
    <w:name w:val="Intense Quote"/>
    <w:basedOn w:val="Normal"/>
    <w:next w:val="Normal"/>
    <w:link w:val="IntenseQuoteChar"/>
    <w:uiPriority w:val="30"/>
    <w:qFormat/>
    <w:rsid w:val="00050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29C"/>
    <w:rPr>
      <w:i/>
      <w:iCs/>
      <w:color w:val="0F4761" w:themeColor="accent1" w:themeShade="BF"/>
    </w:rPr>
  </w:style>
  <w:style w:type="character" w:styleId="IntenseReference">
    <w:name w:val="Intense Reference"/>
    <w:basedOn w:val="DefaultParagraphFont"/>
    <w:uiPriority w:val="32"/>
    <w:qFormat/>
    <w:rsid w:val="000502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481013">
      <w:bodyDiv w:val="1"/>
      <w:marLeft w:val="0"/>
      <w:marRight w:val="0"/>
      <w:marTop w:val="0"/>
      <w:marBottom w:val="0"/>
      <w:divBdr>
        <w:top w:val="none" w:sz="0" w:space="0" w:color="auto"/>
        <w:left w:val="none" w:sz="0" w:space="0" w:color="auto"/>
        <w:bottom w:val="none" w:sz="0" w:space="0" w:color="auto"/>
        <w:right w:val="none" w:sz="0" w:space="0" w:color="auto"/>
      </w:divBdr>
      <w:divsChild>
        <w:div w:id="1010377790">
          <w:marLeft w:val="0"/>
          <w:marRight w:val="0"/>
          <w:marTop w:val="0"/>
          <w:marBottom w:val="160"/>
          <w:divBdr>
            <w:top w:val="none" w:sz="0" w:space="0" w:color="auto"/>
            <w:left w:val="none" w:sz="0" w:space="0" w:color="auto"/>
            <w:bottom w:val="none" w:sz="0" w:space="0" w:color="auto"/>
            <w:right w:val="none" w:sz="0" w:space="0" w:color="auto"/>
          </w:divBdr>
        </w:div>
        <w:div w:id="33427658">
          <w:marLeft w:val="0"/>
          <w:marRight w:val="0"/>
          <w:marTop w:val="0"/>
          <w:marBottom w:val="160"/>
          <w:divBdr>
            <w:top w:val="none" w:sz="0" w:space="0" w:color="auto"/>
            <w:left w:val="none" w:sz="0" w:space="0" w:color="auto"/>
            <w:bottom w:val="none" w:sz="0" w:space="0" w:color="auto"/>
            <w:right w:val="none" w:sz="0" w:space="0" w:color="auto"/>
          </w:divBdr>
        </w:div>
        <w:div w:id="868641283">
          <w:marLeft w:val="0"/>
          <w:marRight w:val="0"/>
          <w:marTop w:val="0"/>
          <w:marBottom w:val="160"/>
          <w:divBdr>
            <w:top w:val="none" w:sz="0" w:space="0" w:color="auto"/>
            <w:left w:val="none" w:sz="0" w:space="0" w:color="auto"/>
            <w:bottom w:val="none" w:sz="0" w:space="0" w:color="auto"/>
            <w:right w:val="none" w:sz="0" w:space="0" w:color="auto"/>
          </w:divBdr>
        </w:div>
        <w:div w:id="168184418">
          <w:marLeft w:val="0"/>
          <w:marRight w:val="0"/>
          <w:marTop w:val="0"/>
          <w:marBottom w:val="160"/>
          <w:divBdr>
            <w:top w:val="none" w:sz="0" w:space="0" w:color="auto"/>
            <w:left w:val="none" w:sz="0" w:space="0" w:color="auto"/>
            <w:bottom w:val="none" w:sz="0" w:space="0" w:color="auto"/>
            <w:right w:val="none" w:sz="0" w:space="0" w:color="auto"/>
          </w:divBdr>
        </w:div>
        <w:div w:id="59467721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263</Words>
  <Characters>1510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Ephraums</dc:creator>
  <cp:keywords/>
  <dc:description/>
  <cp:lastModifiedBy>Luke Ephraums</cp:lastModifiedBy>
  <cp:revision>1</cp:revision>
  <dcterms:created xsi:type="dcterms:W3CDTF">2025-05-19T10:04:00Z</dcterms:created>
  <dcterms:modified xsi:type="dcterms:W3CDTF">2025-05-19T10:19:00Z</dcterms:modified>
</cp:coreProperties>
</file>