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B41B1" w14:textId="3FE73FE2" w:rsidR="003D14E5" w:rsidRPr="003D14E5" w:rsidRDefault="00534538" w:rsidP="003D14E5">
      <w:pPr>
        <w:rPr>
          <w:rFonts w:ascii="Arial" w:hAnsi="Arial" w:cs="Arial"/>
          <w:b/>
          <w:bCs/>
          <w:lang w:val="en-AU"/>
        </w:rPr>
      </w:pPr>
      <w:r w:rsidRPr="003D14E5">
        <w:rPr>
          <w:rFonts w:ascii="Arial" w:hAnsi="Arial" w:cs="Arial"/>
          <w:b/>
          <w:bCs/>
          <w:lang w:val="en-AU"/>
        </w:rPr>
        <w:t>Glycation Gap</w:t>
      </w:r>
      <w:r w:rsidR="001D0872">
        <w:rPr>
          <w:rFonts w:ascii="Arial" w:hAnsi="Arial" w:cs="Arial"/>
          <w:b/>
          <w:bCs/>
          <w:lang w:val="en-AU"/>
        </w:rPr>
        <w:t>:</w:t>
      </w:r>
      <w:r w:rsidRPr="003D14E5">
        <w:rPr>
          <w:rFonts w:ascii="Arial" w:hAnsi="Arial" w:cs="Arial"/>
          <w:b/>
          <w:bCs/>
          <w:lang w:val="en-AU"/>
        </w:rPr>
        <w:t xml:space="preserve"> </w:t>
      </w:r>
      <w:r w:rsidR="003D14E5" w:rsidRPr="003D14E5">
        <w:rPr>
          <w:rFonts w:ascii="Arial" w:hAnsi="Arial" w:cs="Arial"/>
          <w:b/>
          <w:bCs/>
          <w:lang w:val="en-AU"/>
        </w:rPr>
        <w:t xml:space="preserve">Size, Stability and Correlates in Adults with Type 1 </w:t>
      </w:r>
      <w:r w:rsidR="000F783E">
        <w:rPr>
          <w:rFonts w:ascii="Arial" w:hAnsi="Arial" w:cs="Arial"/>
          <w:b/>
          <w:bCs/>
          <w:lang w:val="en-AU"/>
        </w:rPr>
        <w:t>D</w:t>
      </w:r>
      <w:r w:rsidR="003D14E5" w:rsidRPr="003D14E5">
        <w:rPr>
          <w:rFonts w:ascii="Arial" w:hAnsi="Arial" w:cs="Arial"/>
          <w:b/>
          <w:bCs/>
          <w:lang w:val="en-AU"/>
        </w:rPr>
        <w:t>iabetes.</w:t>
      </w:r>
    </w:p>
    <w:p w14:paraId="4F688CCC" w14:textId="5D299234" w:rsidR="003D14E5" w:rsidRPr="003D14E5" w:rsidRDefault="003D14E5" w:rsidP="003D14E5">
      <w:pPr>
        <w:rPr>
          <w:rFonts w:ascii="Arial" w:hAnsi="Arial" w:cs="Arial"/>
          <w:lang w:val="en-AU"/>
        </w:rPr>
      </w:pPr>
      <w:r>
        <w:rPr>
          <w:rFonts w:ascii="Arial" w:hAnsi="Arial" w:cs="Arial"/>
          <w:b/>
          <w:bCs/>
          <w:lang w:val="en-AU"/>
        </w:rPr>
        <w:br/>
      </w:r>
      <w:bookmarkStart w:id="0" w:name="_Hlk198565915"/>
      <w:r w:rsidRPr="003D14E5">
        <w:rPr>
          <w:rFonts w:ascii="Arial" w:hAnsi="Arial" w:cs="Arial"/>
          <w:b/>
          <w:bCs/>
          <w:lang w:val="en-AU"/>
        </w:rPr>
        <w:t xml:space="preserve">Aims: </w:t>
      </w:r>
      <w:r w:rsidRPr="003D14E5">
        <w:rPr>
          <w:rFonts w:ascii="Arial" w:hAnsi="Arial" w:cs="Arial"/>
          <w:lang w:val="en-AU"/>
        </w:rPr>
        <w:t xml:space="preserve">HbA1c and Continuous Glucose Monitor (CGM) metrics have clinical and research targets. There may be discordance between measured HbA1c and CGM-based estimated HbA1c or Glucose Management Index (GMI). This Glycation Gap (GG) may impact clinical care and has multiple potential causes. We aimed to determine GG size, stability and correlates in adults with Type 1 diabetes (T1D).    </w:t>
      </w:r>
    </w:p>
    <w:p w14:paraId="78EE4FD0" w14:textId="7AFFC36C" w:rsidR="003D14E5" w:rsidRPr="003D14E5" w:rsidRDefault="003D14E5" w:rsidP="003D14E5">
      <w:pPr>
        <w:rPr>
          <w:rFonts w:ascii="Arial" w:hAnsi="Arial" w:cs="Arial"/>
          <w:lang w:val="en-AU"/>
        </w:rPr>
      </w:pPr>
      <w:r>
        <w:rPr>
          <w:rFonts w:ascii="Arial" w:hAnsi="Arial" w:cs="Arial"/>
          <w:b/>
          <w:bCs/>
          <w:lang w:val="en-AU"/>
        </w:rPr>
        <w:br/>
      </w:r>
      <w:r w:rsidRPr="003D14E5">
        <w:rPr>
          <w:rFonts w:ascii="Arial" w:hAnsi="Arial" w:cs="Arial"/>
          <w:b/>
          <w:bCs/>
          <w:lang w:val="en-AU"/>
        </w:rPr>
        <w:t xml:space="preserve">Methods: </w:t>
      </w:r>
      <w:r w:rsidRPr="003D14E5">
        <w:rPr>
          <w:rFonts w:ascii="Arial" w:hAnsi="Arial" w:cs="Arial"/>
          <w:lang w:val="en-AU"/>
        </w:rPr>
        <w:t xml:space="preserve">An ethics-approved audit of </w:t>
      </w:r>
      <w:r w:rsidR="004C08FC">
        <w:rPr>
          <w:rFonts w:ascii="Arial" w:hAnsi="Arial" w:cs="Arial"/>
          <w:lang w:val="en-AU"/>
        </w:rPr>
        <w:t>the</w:t>
      </w:r>
      <w:r w:rsidRPr="003D14E5">
        <w:rPr>
          <w:rFonts w:ascii="Arial" w:hAnsi="Arial" w:cs="Arial"/>
          <w:lang w:val="en-AU"/>
        </w:rPr>
        <w:t xml:space="preserve"> </w:t>
      </w:r>
      <w:r w:rsidR="000D14C9">
        <w:rPr>
          <w:rFonts w:ascii="Arial" w:hAnsi="Arial" w:cs="Arial"/>
          <w:lang w:val="en-AU"/>
        </w:rPr>
        <w:t>i</w:t>
      </w:r>
      <w:r w:rsidRPr="003D14E5">
        <w:rPr>
          <w:rFonts w:ascii="Arial" w:hAnsi="Arial" w:cs="Arial"/>
          <w:lang w:val="en-AU"/>
        </w:rPr>
        <w:t>nstitute</w:t>
      </w:r>
      <w:r w:rsidR="000D14C9">
        <w:rPr>
          <w:rFonts w:ascii="Arial" w:hAnsi="Arial" w:cs="Arial"/>
          <w:lang w:val="en-AU"/>
        </w:rPr>
        <w:t>’s</w:t>
      </w:r>
      <w:r w:rsidRPr="003D14E5">
        <w:rPr>
          <w:rFonts w:ascii="Arial" w:hAnsi="Arial" w:cs="Arial"/>
          <w:lang w:val="en-AU"/>
        </w:rPr>
        <w:t xml:space="preserve"> medical records was conducted. The GG = HbA1c -</w:t>
      </w:r>
      <w:r>
        <w:rPr>
          <w:rFonts w:ascii="Arial" w:hAnsi="Arial" w:cs="Arial"/>
          <w:lang w:val="en-AU"/>
        </w:rPr>
        <w:t xml:space="preserve"> </w:t>
      </w:r>
      <w:r w:rsidRPr="003D14E5">
        <w:rPr>
          <w:rFonts w:ascii="Arial" w:hAnsi="Arial" w:cs="Arial"/>
          <w:lang w:val="en-AU"/>
        </w:rPr>
        <w:t xml:space="preserve">GMI (calculated for the preceding 14, 28, 60 and 90 days). </w:t>
      </w:r>
      <w:r w:rsidR="00E722A7">
        <w:rPr>
          <w:rFonts w:ascii="Arial" w:hAnsi="Arial" w:cs="Arial"/>
          <w:lang w:val="en-AU"/>
        </w:rPr>
        <w:t>D</w:t>
      </w:r>
      <w:r w:rsidRPr="003D14E5">
        <w:rPr>
          <w:rFonts w:ascii="Arial" w:hAnsi="Arial" w:cs="Arial"/>
          <w:lang w:val="en-AU"/>
        </w:rPr>
        <w:t xml:space="preserve">ata from </w:t>
      </w:r>
      <w:r w:rsidR="00403E7B">
        <w:rPr>
          <w:rFonts w:ascii="Arial" w:hAnsi="Arial" w:cs="Arial"/>
          <w:lang w:val="en-AU"/>
        </w:rPr>
        <w:t xml:space="preserve">adults with T1D </w:t>
      </w:r>
      <w:r w:rsidRPr="003D14E5">
        <w:rPr>
          <w:rFonts w:ascii="Arial" w:hAnsi="Arial" w:cs="Arial"/>
          <w:lang w:val="en-AU"/>
        </w:rPr>
        <w:t>were analysed using descriptive statistics, Spearman correlation coefficients and ANOVA with significance at p&lt;0.05.</w:t>
      </w:r>
    </w:p>
    <w:p w14:paraId="6978D95E" w14:textId="017DB275" w:rsidR="003D14E5" w:rsidRPr="003D14E5" w:rsidRDefault="003D14E5" w:rsidP="003D14E5">
      <w:pPr>
        <w:rPr>
          <w:rFonts w:ascii="Arial" w:hAnsi="Arial" w:cs="Arial"/>
          <w:lang w:val="en-AU"/>
        </w:rPr>
      </w:pPr>
      <w:r>
        <w:rPr>
          <w:rFonts w:ascii="Arial" w:hAnsi="Arial" w:cs="Arial"/>
          <w:b/>
          <w:bCs/>
          <w:lang w:val="en-AU"/>
        </w:rPr>
        <w:br/>
      </w:r>
      <w:r w:rsidRPr="003D14E5">
        <w:rPr>
          <w:rFonts w:ascii="Arial" w:hAnsi="Arial" w:cs="Arial"/>
          <w:b/>
          <w:bCs/>
          <w:lang w:val="en-AU"/>
        </w:rPr>
        <w:t xml:space="preserve">Results: </w:t>
      </w:r>
      <w:r w:rsidRPr="003D14E5">
        <w:rPr>
          <w:rFonts w:ascii="Arial" w:hAnsi="Arial" w:cs="Arial"/>
          <w:lang w:val="en-AU"/>
        </w:rPr>
        <w:t xml:space="preserve">Cross-sectional analysis: </w:t>
      </w:r>
      <w:bookmarkStart w:id="1" w:name="_Hlk198463404"/>
      <w:r w:rsidRPr="003D14E5">
        <w:rPr>
          <w:rFonts w:ascii="Arial" w:hAnsi="Arial" w:cs="Arial"/>
          <w:lang w:val="en-AU"/>
        </w:rPr>
        <w:t>n=137 adults, 54.7</w:t>
      </w:r>
      <w:r>
        <w:rPr>
          <w:rFonts w:ascii="Arial" w:hAnsi="Arial" w:cs="Arial"/>
          <w:lang w:val="en-AU"/>
        </w:rPr>
        <w:t>%</w:t>
      </w:r>
      <w:r w:rsidRPr="003D14E5">
        <w:rPr>
          <w:rFonts w:ascii="Arial" w:hAnsi="Arial" w:cs="Arial"/>
          <w:lang w:val="en-AU"/>
        </w:rPr>
        <w:t xml:space="preserve"> male, </w:t>
      </w:r>
      <w:bookmarkStart w:id="2" w:name="_Hlk198463256"/>
      <w:proofErr w:type="gramStart"/>
      <w:r w:rsidRPr="003D14E5">
        <w:rPr>
          <w:rFonts w:ascii="Arial" w:hAnsi="Arial" w:cs="Arial"/>
          <w:lang w:val="en-AU"/>
        </w:rPr>
        <w:t>median(</w:t>
      </w:r>
      <w:proofErr w:type="gramEnd"/>
      <w:r w:rsidRPr="003D14E5">
        <w:rPr>
          <w:rFonts w:ascii="Arial" w:hAnsi="Arial" w:cs="Arial"/>
          <w:lang w:val="en-AU"/>
        </w:rPr>
        <w:t>IQR) age 50(</w:t>
      </w:r>
      <w:proofErr w:type="gramStart"/>
      <w:r w:rsidRPr="003D14E5">
        <w:rPr>
          <w:rFonts w:ascii="Arial" w:hAnsi="Arial" w:cs="Arial"/>
          <w:lang w:val="en-AU"/>
        </w:rPr>
        <w:t>32)yrs</w:t>
      </w:r>
      <w:proofErr w:type="gramEnd"/>
      <w:r w:rsidRPr="003D14E5">
        <w:rPr>
          <w:rFonts w:ascii="Arial" w:hAnsi="Arial" w:cs="Arial"/>
          <w:lang w:val="en-AU"/>
        </w:rPr>
        <w:t xml:space="preserve">, </w:t>
      </w:r>
      <w:proofErr w:type="gramStart"/>
      <w:r w:rsidRPr="003D14E5">
        <w:rPr>
          <w:rFonts w:ascii="Arial" w:hAnsi="Arial" w:cs="Arial"/>
          <w:lang w:val="en-AU"/>
        </w:rPr>
        <w:t>median(</w:t>
      </w:r>
      <w:proofErr w:type="gramEnd"/>
      <w:r w:rsidRPr="003D14E5">
        <w:rPr>
          <w:rFonts w:ascii="Arial" w:hAnsi="Arial" w:cs="Arial"/>
          <w:lang w:val="en-AU"/>
        </w:rPr>
        <w:t>IQR) HbA1c 7.4(1.</w:t>
      </w:r>
      <w:proofErr w:type="gramStart"/>
      <w:r w:rsidRPr="003D14E5">
        <w:rPr>
          <w:rFonts w:ascii="Arial" w:hAnsi="Arial" w:cs="Arial"/>
          <w:lang w:val="en-AU"/>
        </w:rPr>
        <w:t>5)</w:t>
      </w:r>
      <w:r>
        <w:rPr>
          <w:rFonts w:ascii="Arial" w:hAnsi="Arial" w:cs="Arial"/>
          <w:lang w:val="en-AU"/>
        </w:rPr>
        <w:t>%</w:t>
      </w:r>
      <w:proofErr w:type="gramEnd"/>
      <w:r w:rsidRPr="003D14E5">
        <w:rPr>
          <w:rFonts w:ascii="Arial" w:hAnsi="Arial" w:cs="Arial"/>
          <w:lang w:val="en-AU"/>
        </w:rPr>
        <w:t>.</w:t>
      </w:r>
      <w:bookmarkEnd w:id="1"/>
      <w:bookmarkEnd w:id="2"/>
      <w:r w:rsidRPr="003D14E5">
        <w:rPr>
          <w:rFonts w:ascii="Arial" w:hAnsi="Arial" w:cs="Arial"/>
          <w:lang w:val="en-AU"/>
        </w:rPr>
        <w:t xml:space="preserve"> GG at 14, 28, 60 and 90 days correlated, r=0.848 – 0.976, all p&lt;0.0001. Median GG (90 days) was 0.1</w:t>
      </w:r>
      <w:r>
        <w:rPr>
          <w:rFonts w:ascii="Arial" w:hAnsi="Arial" w:cs="Arial"/>
          <w:lang w:val="en-AU"/>
        </w:rPr>
        <w:t>%</w:t>
      </w:r>
      <w:r w:rsidRPr="003D14E5">
        <w:rPr>
          <w:rFonts w:ascii="Arial" w:hAnsi="Arial" w:cs="Arial"/>
          <w:lang w:val="en-AU"/>
        </w:rPr>
        <w:t>; range -2.8 to +1.5</w:t>
      </w:r>
      <w:r w:rsidR="002D764F">
        <w:rPr>
          <w:rFonts w:ascii="Arial" w:hAnsi="Arial" w:cs="Arial"/>
          <w:lang w:val="en-AU"/>
        </w:rPr>
        <w:t>%</w:t>
      </w:r>
      <w:r w:rsidR="007568DB">
        <w:rPr>
          <w:rFonts w:ascii="Arial" w:hAnsi="Arial" w:cs="Arial"/>
          <w:lang w:val="en-AU"/>
        </w:rPr>
        <w:t>,</w:t>
      </w:r>
      <w:r w:rsidR="00096563">
        <w:rPr>
          <w:rFonts w:ascii="Arial" w:hAnsi="Arial" w:cs="Arial"/>
          <w:lang w:val="en-AU"/>
        </w:rPr>
        <w:t xml:space="preserve"> </w:t>
      </w:r>
      <w:r w:rsidR="000D14C9">
        <w:rPr>
          <w:rFonts w:ascii="Arial" w:hAnsi="Arial" w:cs="Arial"/>
          <w:lang w:val="en-AU"/>
        </w:rPr>
        <w:t>59</w:t>
      </w:r>
      <w:r w:rsidR="00477A88">
        <w:rPr>
          <w:rFonts w:ascii="Arial" w:hAnsi="Arial" w:cs="Arial"/>
          <w:lang w:val="en-AU"/>
        </w:rPr>
        <w:t>.0%</w:t>
      </w:r>
      <w:r w:rsidR="00E051A1">
        <w:rPr>
          <w:rFonts w:ascii="Arial" w:hAnsi="Arial" w:cs="Arial"/>
          <w:lang w:val="en-AU"/>
        </w:rPr>
        <w:t xml:space="preserve"> </w:t>
      </w:r>
      <w:r w:rsidR="00096563">
        <w:rPr>
          <w:rFonts w:ascii="Arial" w:hAnsi="Arial" w:cs="Arial"/>
          <w:lang w:val="en-AU"/>
        </w:rPr>
        <w:t>had GG</w:t>
      </w:r>
      <w:r w:rsidR="00E051A1">
        <w:rPr>
          <w:rFonts w:ascii="Arial" w:hAnsi="Arial" w:cs="Arial"/>
          <w:lang w:val="en-AU"/>
        </w:rPr>
        <w:t>&gt;+0.3%</w:t>
      </w:r>
      <w:r w:rsidR="00096563">
        <w:rPr>
          <w:rFonts w:ascii="Arial" w:hAnsi="Arial" w:cs="Arial"/>
          <w:lang w:val="en-AU"/>
        </w:rPr>
        <w:t xml:space="preserve"> </w:t>
      </w:r>
      <w:r w:rsidR="00E051A1">
        <w:rPr>
          <w:rFonts w:ascii="Arial" w:hAnsi="Arial" w:cs="Arial"/>
          <w:lang w:val="en-AU"/>
        </w:rPr>
        <w:t xml:space="preserve">or </w:t>
      </w:r>
      <w:r w:rsidR="000D14C9" w:rsidRPr="000D14C9">
        <w:rPr>
          <w:rFonts w:ascii="Arial" w:hAnsi="Arial" w:cs="Arial"/>
          <w:lang w:val="en-AU"/>
        </w:rPr>
        <w:t>≤</w:t>
      </w:r>
      <w:r w:rsidR="00E051A1">
        <w:rPr>
          <w:rFonts w:ascii="Arial" w:hAnsi="Arial" w:cs="Arial"/>
          <w:lang w:val="en-AU"/>
        </w:rPr>
        <w:t>-0.3%</w:t>
      </w:r>
      <w:r w:rsidR="001433F4">
        <w:rPr>
          <w:rFonts w:ascii="Arial" w:hAnsi="Arial" w:cs="Arial"/>
          <w:lang w:val="en-AU"/>
        </w:rPr>
        <w:t xml:space="preserve"> (Figure A)</w:t>
      </w:r>
      <w:r w:rsidRPr="003D14E5">
        <w:rPr>
          <w:rFonts w:ascii="Arial" w:hAnsi="Arial" w:cs="Arial"/>
          <w:lang w:val="en-AU"/>
        </w:rPr>
        <w:t>.</w:t>
      </w:r>
    </w:p>
    <w:p w14:paraId="66A34081" w14:textId="2C973146" w:rsidR="003D14E5" w:rsidRPr="003D14E5" w:rsidRDefault="003D14E5" w:rsidP="003D14E5">
      <w:pPr>
        <w:rPr>
          <w:rFonts w:ascii="Arial" w:hAnsi="Arial" w:cs="Arial"/>
          <w:lang w:val="en-AU"/>
        </w:rPr>
      </w:pPr>
      <w:r w:rsidRPr="003D14E5">
        <w:rPr>
          <w:rFonts w:ascii="Arial" w:hAnsi="Arial" w:cs="Arial"/>
          <w:lang w:val="en-AU"/>
        </w:rPr>
        <w:br/>
      </w:r>
      <w:r w:rsidRPr="005575C3">
        <w:rPr>
          <w:rFonts w:ascii="Arial" w:hAnsi="Arial" w:cs="Arial"/>
          <w:lang w:val="en-AU"/>
        </w:rPr>
        <w:t>Longitudinal analysis</w:t>
      </w:r>
      <w:r w:rsidRPr="003D14E5">
        <w:rPr>
          <w:rFonts w:ascii="Arial" w:hAnsi="Arial" w:cs="Arial"/>
          <w:lang w:val="en-AU"/>
        </w:rPr>
        <w:t xml:space="preserve"> (≥2 GG readings)</w:t>
      </w:r>
      <w:r w:rsidRPr="005575C3">
        <w:rPr>
          <w:rFonts w:ascii="Arial" w:hAnsi="Arial" w:cs="Arial"/>
          <w:lang w:val="en-AU"/>
        </w:rPr>
        <w:t>:</w:t>
      </w:r>
      <w:r w:rsidRPr="003D14E5">
        <w:rPr>
          <w:rFonts w:ascii="Arial" w:hAnsi="Arial" w:cs="Arial"/>
          <w:b/>
          <w:bCs/>
          <w:lang w:val="en-AU"/>
        </w:rPr>
        <w:t xml:space="preserve"> </w:t>
      </w:r>
      <w:r w:rsidRPr="003D14E5">
        <w:rPr>
          <w:rFonts w:ascii="Arial" w:hAnsi="Arial" w:cs="Arial"/>
          <w:lang w:val="en-AU"/>
        </w:rPr>
        <w:t>n=106/137 adults, 56.6</w:t>
      </w:r>
      <w:r>
        <w:rPr>
          <w:rFonts w:ascii="Arial" w:hAnsi="Arial" w:cs="Arial"/>
          <w:lang w:val="en-AU"/>
        </w:rPr>
        <w:t xml:space="preserve">% </w:t>
      </w:r>
      <w:r w:rsidRPr="003D14E5">
        <w:rPr>
          <w:rFonts w:ascii="Arial" w:hAnsi="Arial" w:cs="Arial"/>
          <w:lang w:val="en-AU"/>
        </w:rPr>
        <w:t xml:space="preserve">male, </w:t>
      </w:r>
      <w:proofErr w:type="gramStart"/>
      <w:r w:rsidRPr="003D14E5">
        <w:rPr>
          <w:rFonts w:ascii="Arial" w:hAnsi="Arial" w:cs="Arial"/>
          <w:lang w:val="en-AU"/>
        </w:rPr>
        <w:t>median(</w:t>
      </w:r>
      <w:proofErr w:type="gramEnd"/>
      <w:r w:rsidRPr="003D14E5">
        <w:rPr>
          <w:rFonts w:ascii="Arial" w:hAnsi="Arial" w:cs="Arial"/>
          <w:lang w:val="en-AU"/>
        </w:rPr>
        <w:t>IQR) age 51.5(32.</w:t>
      </w:r>
      <w:proofErr w:type="gramStart"/>
      <w:r w:rsidRPr="003D14E5">
        <w:rPr>
          <w:rFonts w:ascii="Arial" w:hAnsi="Arial" w:cs="Arial"/>
          <w:lang w:val="en-AU"/>
        </w:rPr>
        <w:t>25)yrs</w:t>
      </w:r>
      <w:proofErr w:type="gramEnd"/>
      <w:r w:rsidRPr="003D14E5">
        <w:rPr>
          <w:rFonts w:ascii="Arial" w:hAnsi="Arial" w:cs="Arial"/>
          <w:lang w:val="en-AU"/>
        </w:rPr>
        <w:t xml:space="preserve">, </w:t>
      </w:r>
      <w:proofErr w:type="gramStart"/>
      <w:r w:rsidRPr="003D14E5">
        <w:rPr>
          <w:rFonts w:ascii="Arial" w:hAnsi="Arial" w:cs="Arial"/>
          <w:lang w:val="en-AU"/>
        </w:rPr>
        <w:t>median(</w:t>
      </w:r>
      <w:proofErr w:type="gramEnd"/>
      <w:r w:rsidRPr="003D14E5">
        <w:rPr>
          <w:rFonts w:ascii="Arial" w:hAnsi="Arial" w:cs="Arial"/>
          <w:lang w:val="en-AU"/>
        </w:rPr>
        <w:t>IQR) HbA1c 7.35(1.</w:t>
      </w:r>
      <w:proofErr w:type="gramStart"/>
      <w:r w:rsidRPr="003D14E5">
        <w:rPr>
          <w:rFonts w:ascii="Arial" w:hAnsi="Arial" w:cs="Arial"/>
          <w:lang w:val="en-AU"/>
        </w:rPr>
        <w:t>3)</w:t>
      </w:r>
      <w:r>
        <w:rPr>
          <w:rFonts w:ascii="Arial" w:hAnsi="Arial" w:cs="Arial"/>
          <w:lang w:val="en-AU"/>
        </w:rPr>
        <w:t>%</w:t>
      </w:r>
      <w:proofErr w:type="gramEnd"/>
      <w:r w:rsidRPr="003D14E5">
        <w:rPr>
          <w:rFonts w:ascii="Arial" w:hAnsi="Arial" w:cs="Arial"/>
          <w:lang w:val="en-AU"/>
        </w:rPr>
        <w:t>. The GG at days 14, 28, 60 and 90 at each timepoint did not differ significantly</w:t>
      </w:r>
      <w:r w:rsidR="00550670">
        <w:rPr>
          <w:rFonts w:ascii="Arial" w:hAnsi="Arial" w:cs="Arial"/>
          <w:lang w:val="en-AU"/>
        </w:rPr>
        <w:t xml:space="preserve"> (Figure B)</w:t>
      </w:r>
      <w:r w:rsidRPr="003D14E5">
        <w:rPr>
          <w:rFonts w:ascii="Arial" w:hAnsi="Arial" w:cs="Arial"/>
          <w:lang w:val="en-AU"/>
        </w:rPr>
        <w:t xml:space="preserve">. </w:t>
      </w:r>
      <w:proofErr w:type="gramStart"/>
      <w:r w:rsidRPr="003D14E5">
        <w:rPr>
          <w:rFonts w:ascii="Arial" w:hAnsi="Arial" w:cs="Arial"/>
          <w:lang w:val="en-AU"/>
        </w:rPr>
        <w:t>Median(</w:t>
      </w:r>
      <w:proofErr w:type="gramEnd"/>
      <w:r w:rsidRPr="003D14E5">
        <w:rPr>
          <w:rFonts w:ascii="Arial" w:hAnsi="Arial" w:cs="Arial"/>
          <w:lang w:val="en-AU"/>
        </w:rPr>
        <w:t>IQR) GG (90 days) at baseline, time-point one and two were 0(</w:t>
      </w:r>
      <w:proofErr w:type="gramStart"/>
      <w:r w:rsidRPr="003D14E5">
        <w:rPr>
          <w:rFonts w:ascii="Arial" w:hAnsi="Arial" w:cs="Arial"/>
          <w:lang w:val="en-AU"/>
        </w:rPr>
        <w:t>0.675)</w:t>
      </w:r>
      <w:r>
        <w:rPr>
          <w:rFonts w:ascii="Arial" w:hAnsi="Arial" w:cs="Arial"/>
          <w:lang w:val="en-AU"/>
        </w:rPr>
        <w:t>%</w:t>
      </w:r>
      <w:proofErr w:type="gramEnd"/>
      <w:r w:rsidRPr="003D14E5">
        <w:rPr>
          <w:rFonts w:ascii="Arial" w:hAnsi="Arial" w:cs="Arial"/>
          <w:lang w:val="en-AU"/>
        </w:rPr>
        <w:t>, 0.1(0.</w:t>
      </w:r>
      <w:proofErr w:type="gramStart"/>
      <w:r w:rsidRPr="003D14E5">
        <w:rPr>
          <w:rFonts w:ascii="Arial" w:hAnsi="Arial" w:cs="Arial"/>
          <w:lang w:val="en-AU"/>
        </w:rPr>
        <w:t>7)</w:t>
      </w:r>
      <w:r>
        <w:rPr>
          <w:rFonts w:ascii="Arial" w:hAnsi="Arial" w:cs="Arial"/>
          <w:lang w:val="en-AU"/>
        </w:rPr>
        <w:t>%</w:t>
      </w:r>
      <w:proofErr w:type="gramEnd"/>
      <w:r w:rsidRPr="003D14E5">
        <w:rPr>
          <w:rFonts w:ascii="Arial" w:hAnsi="Arial" w:cs="Arial"/>
          <w:lang w:val="en-AU"/>
        </w:rPr>
        <w:t xml:space="preserve"> and 0.1(0.</w:t>
      </w:r>
      <w:proofErr w:type="gramStart"/>
      <w:r w:rsidRPr="003D14E5">
        <w:rPr>
          <w:rFonts w:ascii="Arial" w:hAnsi="Arial" w:cs="Arial"/>
          <w:lang w:val="en-AU"/>
        </w:rPr>
        <w:t>7)</w:t>
      </w:r>
      <w:r>
        <w:rPr>
          <w:rFonts w:ascii="Arial" w:hAnsi="Arial" w:cs="Arial"/>
          <w:lang w:val="en-AU"/>
        </w:rPr>
        <w:t>%</w:t>
      </w:r>
      <w:proofErr w:type="gramEnd"/>
      <w:r w:rsidRPr="003D14E5">
        <w:rPr>
          <w:rFonts w:ascii="Arial" w:hAnsi="Arial" w:cs="Arial"/>
          <w:lang w:val="en-AU"/>
        </w:rPr>
        <w:t>, and did not differ significantly.</w:t>
      </w:r>
      <w:r w:rsidRPr="0021496F">
        <w:rPr>
          <w:rFonts w:ascii="Arial" w:hAnsi="Arial" w:cs="Arial"/>
          <w:lang w:val="en-AU"/>
        </w:rPr>
        <w:br/>
      </w:r>
      <w:r w:rsidRPr="0021496F">
        <w:rPr>
          <w:rFonts w:ascii="Arial" w:hAnsi="Arial" w:cs="Arial"/>
          <w:b/>
          <w:bCs/>
          <w:lang w:val="en-AU"/>
        </w:rPr>
        <w:br/>
      </w:r>
      <w:r w:rsidRPr="003D14E5">
        <w:rPr>
          <w:rFonts w:ascii="Arial" w:hAnsi="Arial" w:cs="Arial"/>
          <w:lang w:val="en-AU"/>
        </w:rPr>
        <w:t>Using cross-sectional data</w:t>
      </w:r>
      <w:r w:rsidR="00E722A7">
        <w:rPr>
          <w:rFonts w:ascii="Arial" w:hAnsi="Arial" w:cs="Arial"/>
          <w:lang w:val="en-AU"/>
        </w:rPr>
        <w:t>,</w:t>
      </w:r>
      <w:r w:rsidRPr="003D14E5">
        <w:rPr>
          <w:rFonts w:ascii="Arial" w:hAnsi="Arial" w:cs="Arial"/>
          <w:lang w:val="en-AU"/>
        </w:rPr>
        <w:t xml:space="preserve"> GG </w:t>
      </w:r>
      <w:r w:rsidR="00477A88">
        <w:rPr>
          <w:rFonts w:ascii="Arial" w:hAnsi="Arial" w:cs="Arial"/>
          <w:lang w:val="en-AU"/>
        </w:rPr>
        <w:t xml:space="preserve">significantly </w:t>
      </w:r>
      <w:r w:rsidRPr="003D14E5">
        <w:rPr>
          <w:rFonts w:ascii="Arial" w:hAnsi="Arial" w:cs="Arial"/>
          <w:lang w:val="en-AU"/>
        </w:rPr>
        <w:t xml:space="preserve">correlated </w:t>
      </w:r>
      <w:r w:rsidR="00477A88">
        <w:rPr>
          <w:rFonts w:ascii="Arial" w:hAnsi="Arial" w:cs="Arial"/>
          <w:lang w:val="en-AU"/>
        </w:rPr>
        <w:t xml:space="preserve">with </w:t>
      </w:r>
      <w:r w:rsidRPr="003D14E5">
        <w:rPr>
          <w:rFonts w:ascii="Arial" w:hAnsi="Arial" w:cs="Arial"/>
          <w:lang w:val="en-AU"/>
        </w:rPr>
        <w:t>age</w:t>
      </w:r>
      <w:r w:rsidR="00096563" w:rsidRPr="00477A88">
        <w:rPr>
          <w:rFonts w:ascii="Arial" w:hAnsi="Arial" w:cs="Arial"/>
          <w:lang w:val="en-AU"/>
        </w:rPr>
        <w:t>,</w:t>
      </w:r>
      <w:r w:rsidR="00477A88" w:rsidRPr="00477A88">
        <w:rPr>
          <w:rFonts w:ascii="Arial" w:hAnsi="Arial" w:cs="Arial"/>
          <w:lang w:val="en-AU"/>
        </w:rPr>
        <w:t xml:space="preserve"> </w:t>
      </w:r>
      <w:r w:rsidR="00477A88" w:rsidRPr="005575C3">
        <w:rPr>
          <w:rFonts w:ascii="Arial" w:hAnsi="Arial" w:cs="Arial"/>
        </w:rPr>
        <w:t>r=-0.2470 – -0.2097</w:t>
      </w:r>
      <w:r w:rsidR="00477A88" w:rsidRPr="00477A88">
        <w:rPr>
          <w:rFonts w:ascii="Arial" w:hAnsi="Arial" w:cs="Arial"/>
        </w:rPr>
        <w:t>,</w:t>
      </w:r>
      <w:r w:rsidRPr="00477A88">
        <w:rPr>
          <w:rFonts w:ascii="Arial" w:hAnsi="Arial" w:cs="Arial"/>
          <w:lang w:val="en-AU"/>
        </w:rPr>
        <w:t xml:space="preserve"> </w:t>
      </w:r>
      <w:r w:rsidRPr="003D14E5">
        <w:rPr>
          <w:rFonts w:ascii="Arial" w:hAnsi="Arial" w:cs="Arial"/>
          <w:lang w:val="en-AU"/>
        </w:rPr>
        <w:t xml:space="preserve">but not with sex </w:t>
      </w:r>
      <w:r w:rsidR="003663DA">
        <w:rPr>
          <w:rFonts w:ascii="Arial" w:hAnsi="Arial" w:cs="Arial"/>
          <w:lang w:val="en-AU"/>
        </w:rPr>
        <w:t>or</w:t>
      </w:r>
      <w:r w:rsidR="003663DA" w:rsidRPr="003D14E5">
        <w:rPr>
          <w:rFonts w:ascii="Arial" w:hAnsi="Arial" w:cs="Arial"/>
          <w:lang w:val="en-AU"/>
        </w:rPr>
        <w:t xml:space="preserve"> </w:t>
      </w:r>
      <w:r w:rsidRPr="003D14E5">
        <w:rPr>
          <w:rFonts w:ascii="Arial" w:hAnsi="Arial" w:cs="Arial"/>
          <w:lang w:val="en-AU"/>
        </w:rPr>
        <w:t>T1D duration.</w:t>
      </w:r>
      <w:r>
        <w:rPr>
          <w:rFonts w:ascii="Arial" w:hAnsi="Arial" w:cs="Arial"/>
          <w:lang w:val="en-AU"/>
        </w:rPr>
        <w:br/>
      </w:r>
    </w:p>
    <w:p w14:paraId="484FA34F" w14:textId="532CF8B2" w:rsidR="00830A4D" w:rsidRDefault="003D14E5">
      <w:pPr>
        <w:rPr>
          <w:rFonts w:ascii="Arial" w:hAnsi="Arial" w:cs="Arial"/>
          <w:lang w:val="en-AU"/>
        </w:rPr>
      </w:pPr>
      <w:r w:rsidRPr="003D14E5">
        <w:rPr>
          <w:rFonts w:ascii="Arial" w:hAnsi="Arial" w:cs="Arial"/>
          <w:b/>
          <w:bCs/>
          <w:lang w:val="en-AU"/>
        </w:rPr>
        <w:t xml:space="preserve">Conclusion: </w:t>
      </w:r>
      <w:r w:rsidRPr="003D14E5">
        <w:rPr>
          <w:rFonts w:ascii="Arial" w:hAnsi="Arial" w:cs="Arial"/>
          <w:lang w:val="en-AU"/>
        </w:rPr>
        <w:t>In adults with T1D, GG has a wide range and is stable over time.</w:t>
      </w:r>
    </w:p>
    <w:bookmarkEnd w:id="0"/>
    <w:p w14:paraId="51CFB655" w14:textId="27F1BA1D" w:rsidR="00534538" w:rsidRDefault="00534538">
      <w:pPr>
        <w:rPr>
          <w:rFonts w:ascii="Arial" w:hAnsi="Arial" w:cs="Arial"/>
          <w:lang w:val="en-AU"/>
        </w:rPr>
      </w:pPr>
    </w:p>
    <w:p w14:paraId="22E33DB6" w14:textId="0226948C" w:rsidR="00534538" w:rsidRDefault="00534538">
      <w:pPr>
        <w:rPr>
          <w:rFonts w:ascii="Arial" w:hAnsi="Arial" w:cs="Arial"/>
          <w:lang w:val="en-AU"/>
        </w:rPr>
      </w:pPr>
    </w:p>
    <w:p w14:paraId="4041282F" w14:textId="3F4A0E3D" w:rsidR="00534538" w:rsidRPr="007244F0" w:rsidRDefault="009870A6">
      <w:pPr>
        <w:rPr>
          <w:rFonts w:ascii="Arial" w:hAnsi="Arial" w:cs="Arial"/>
        </w:rPr>
      </w:pPr>
      <w:r w:rsidRPr="009870A6">
        <w:rPr>
          <w:rFonts w:ascii="Arial" w:hAnsi="Arial" w:cs="Arial"/>
          <w:lang w:val="en-AU"/>
        </w:rPr>
        <w:drawing>
          <wp:anchor distT="0" distB="0" distL="114300" distR="114300" simplePos="0" relativeHeight="251669504" behindDoc="0" locked="0" layoutInCell="1" allowOverlap="1" wp14:anchorId="75162FC0" wp14:editId="736C16EE">
            <wp:simplePos x="0" y="0"/>
            <wp:positionH relativeFrom="margin">
              <wp:posOffset>494030</wp:posOffset>
            </wp:positionH>
            <wp:positionV relativeFrom="paragraph">
              <wp:posOffset>215900</wp:posOffset>
            </wp:positionV>
            <wp:extent cx="4190365" cy="954405"/>
            <wp:effectExtent l="0" t="0" r="635" b="0"/>
            <wp:wrapSquare wrapText="bothSides"/>
            <wp:docPr id="1786269078" name="Picture 1" descr="A graph with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69078" name="Picture 1" descr="A graph with numbers and a ba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90365" cy="954405"/>
                    </a:xfrm>
                    <a:prstGeom prst="rect">
                      <a:avLst/>
                    </a:prstGeom>
                  </pic:spPr>
                </pic:pic>
              </a:graphicData>
            </a:graphic>
            <wp14:sizeRelH relativeFrom="margin">
              <wp14:pctWidth>0</wp14:pctWidth>
            </wp14:sizeRelH>
            <wp14:sizeRelV relativeFrom="margin">
              <wp14:pctHeight>0</wp14:pctHeight>
            </wp14:sizeRelV>
          </wp:anchor>
        </w:drawing>
      </w:r>
    </w:p>
    <w:sectPr w:rsidR="00534538"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027AC"/>
    <w:rsid w:val="00090906"/>
    <w:rsid w:val="00096563"/>
    <w:rsid w:val="000C18DB"/>
    <w:rsid w:val="000D14C9"/>
    <w:rsid w:val="000F783E"/>
    <w:rsid w:val="001433F4"/>
    <w:rsid w:val="001A1277"/>
    <w:rsid w:val="001D0872"/>
    <w:rsid w:val="0021496F"/>
    <w:rsid w:val="0028124D"/>
    <w:rsid w:val="002D764F"/>
    <w:rsid w:val="003207C6"/>
    <w:rsid w:val="003663DA"/>
    <w:rsid w:val="00376B39"/>
    <w:rsid w:val="003949EE"/>
    <w:rsid w:val="003D14E5"/>
    <w:rsid w:val="003F736C"/>
    <w:rsid w:val="00403E7B"/>
    <w:rsid w:val="00477A88"/>
    <w:rsid w:val="004A17B4"/>
    <w:rsid w:val="004C08FC"/>
    <w:rsid w:val="004E09DD"/>
    <w:rsid w:val="004E6D1A"/>
    <w:rsid w:val="00502238"/>
    <w:rsid w:val="00534538"/>
    <w:rsid w:val="00550670"/>
    <w:rsid w:val="005575C3"/>
    <w:rsid w:val="00627136"/>
    <w:rsid w:val="006E44CA"/>
    <w:rsid w:val="007244F0"/>
    <w:rsid w:val="007568DB"/>
    <w:rsid w:val="008245D7"/>
    <w:rsid w:val="00830A4D"/>
    <w:rsid w:val="008427FA"/>
    <w:rsid w:val="0088695E"/>
    <w:rsid w:val="008953CF"/>
    <w:rsid w:val="008A650B"/>
    <w:rsid w:val="008F7225"/>
    <w:rsid w:val="009870A6"/>
    <w:rsid w:val="009A582D"/>
    <w:rsid w:val="009D0EC6"/>
    <w:rsid w:val="009D79DB"/>
    <w:rsid w:val="00A85759"/>
    <w:rsid w:val="00B0569E"/>
    <w:rsid w:val="00B078C9"/>
    <w:rsid w:val="00B34B44"/>
    <w:rsid w:val="00BC73E4"/>
    <w:rsid w:val="00BD651E"/>
    <w:rsid w:val="00C32A6C"/>
    <w:rsid w:val="00D56368"/>
    <w:rsid w:val="00DD0D64"/>
    <w:rsid w:val="00E051A1"/>
    <w:rsid w:val="00E722A7"/>
    <w:rsid w:val="00F14544"/>
    <w:rsid w:val="00F34FE6"/>
    <w:rsid w:val="00F54D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D14E5"/>
    <w:rPr>
      <w:sz w:val="16"/>
      <w:szCs w:val="16"/>
    </w:rPr>
  </w:style>
  <w:style w:type="paragraph" w:styleId="CommentText">
    <w:name w:val="annotation text"/>
    <w:basedOn w:val="Normal"/>
    <w:link w:val="CommentTextChar"/>
    <w:uiPriority w:val="99"/>
    <w:unhideWhenUsed/>
    <w:rsid w:val="003D14E5"/>
    <w:pPr>
      <w:spacing w:after="160"/>
    </w:pPr>
    <w:rPr>
      <w:rFonts w:asciiTheme="minorHAnsi" w:hAnsiTheme="minorHAnsi"/>
      <w:kern w:val="2"/>
      <w:sz w:val="20"/>
      <w:szCs w:val="25"/>
      <w:lang w:val="en-AU" w:bidi="th-TH"/>
      <w14:ligatures w14:val="standardContextual"/>
    </w:rPr>
  </w:style>
  <w:style w:type="character" w:customStyle="1" w:styleId="CommentTextChar">
    <w:name w:val="Comment Text Char"/>
    <w:basedOn w:val="DefaultParagraphFont"/>
    <w:link w:val="CommentText"/>
    <w:uiPriority w:val="99"/>
    <w:rsid w:val="003D14E5"/>
    <w:rPr>
      <w:rFonts w:asciiTheme="minorHAnsi" w:hAnsiTheme="minorHAnsi"/>
      <w:kern w:val="2"/>
      <w:sz w:val="20"/>
      <w:szCs w:val="25"/>
      <w:lang w:val="en-AU" w:bidi="th-TH"/>
      <w14:ligatures w14:val="standardContextual"/>
    </w:rPr>
  </w:style>
  <w:style w:type="paragraph" w:styleId="Revision">
    <w:name w:val="Revision"/>
    <w:hidden/>
    <w:uiPriority w:val="99"/>
    <w:semiHidden/>
    <w:rsid w:val="00366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55A207-2362-4A22-A848-C50C756B3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Tony Begbie</cp:lastModifiedBy>
  <cp:revision>8</cp:revision>
  <dcterms:created xsi:type="dcterms:W3CDTF">2025-05-19T06:53:00Z</dcterms:created>
  <dcterms:modified xsi:type="dcterms:W3CDTF">2025-05-22T05:48:00Z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