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3E2A46D2" w:rsidR="001564A4" w:rsidRPr="0050053A" w:rsidRDefault="00E657D7" w:rsidP="002E529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bookmarkStart w:id="0" w:name="_Hlk148458494"/>
            <w:r w:rsidRPr="00E657D7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Sputum microbiology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data </w:t>
            </w:r>
            <w:r w:rsidRPr="00E657D7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>among adult Aboriginal Australians with Bronchiectasis</w:t>
            </w:r>
            <w:r w:rsidR="00E67CB4"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  <w:t xml:space="preserve"> in the Top End Northern Territory Australia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188F844F" w:rsidR="001564A4" w:rsidRPr="00413B94" w:rsidRDefault="00E657D7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E657D7">
              <w:rPr>
                <w:rFonts w:eastAsiaTheme="minorEastAsia"/>
                <w:lang w:eastAsia="zh-CN"/>
              </w:rPr>
              <w:t xml:space="preserve">Kelly </w:t>
            </w:r>
            <w:r w:rsidR="00764AFC">
              <w:rPr>
                <w:rFonts w:eastAsiaTheme="minorEastAsia"/>
                <w:lang w:eastAsia="zh-CN"/>
              </w:rPr>
              <w:t>Tanner</w:t>
            </w:r>
            <w:r w:rsidR="00B37996" w:rsidRPr="00E77A02">
              <w:rPr>
                <w:rFonts w:eastAsiaTheme="minorEastAsia"/>
                <w:vertAlign w:val="superscript"/>
                <w:lang w:eastAsia="zh-CN"/>
              </w:rPr>
              <w:t>1</w:t>
            </w:r>
            <w:r w:rsidR="00B37996" w:rsidRPr="00E77A02">
              <w:rPr>
                <w:rFonts w:eastAsiaTheme="minorEastAsia"/>
                <w:lang w:eastAsia="zh-CN"/>
              </w:rPr>
              <w:t xml:space="preserve">, </w:t>
            </w:r>
            <w:r w:rsidR="00B37996" w:rsidRPr="00E77A02">
              <w:rPr>
                <w:bCs/>
              </w:rPr>
              <w:t>Timothy Howarth</w:t>
            </w:r>
            <w:r w:rsidR="00B37996">
              <w:rPr>
                <w:bCs/>
              </w:rPr>
              <w:t xml:space="preserve"> </w:t>
            </w:r>
            <w:r>
              <w:rPr>
                <w:bCs/>
                <w:vertAlign w:val="superscript"/>
              </w:rPr>
              <w:t>2,3,4</w:t>
            </w:r>
            <w:r w:rsidR="005352EA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3F02A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3F02A7" w:rsidRPr="003F02A7">
              <w:rPr>
                <w:rFonts w:ascii="Arial" w:hAnsi="Arial" w:cs="Arial"/>
                <w:sz w:val="22"/>
                <w:szCs w:val="22"/>
                <w:lang w:val="en-US" w:eastAsia="en-GB"/>
              </w:rPr>
              <w:t>Claire</w:t>
            </w:r>
            <w:r w:rsidR="003F02A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Gibbs </w:t>
            </w:r>
            <w:r w:rsidR="003F02A7" w:rsidRPr="003F02A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5,6</w:t>
            </w:r>
            <w:r w:rsidR="003F02A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9D73E0" w:rsidRPr="009D73E0">
              <w:rPr>
                <w:rFonts w:ascii="Arial" w:hAnsi="Arial" w:cs="Arial"/>
                <w:sz w:val="22"/>
                <w:szCs w:val="22"/>
                <w:lang w:val="en-US" w:eastAsia="en-GB"/>
              </w:rPr>
              <w:t>Sudharsan Venkatesan</w:t>
            </w:r>
            <w:r w:rsidR="00E8110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7B6864" w:rsidRPr="003F02A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7B686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 xml:space="preserve">, </w:t>
            </w:r>
            <w:r w:rsidR="003F02A7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7</w:t>
            </w:r>
            <w:r w:rsidR="003F02A7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</w:t>
            </w:r>
            <w:r w:rsidR="00B37996" w:rsidRPr="005078D4">
              <w:rPr>
                <w:rFonts w:ascii="Arial" w:hAnsi="Arial" w:cs="Arial"/>
                <w:sz w:val="22"/>
                <w:szCs w:val="22"/>
                <w:lang w:val="en-US" w:eastAsia="en-GB"/>
              </w:rPr>
              <w:t>Subash S Heraganahally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4,5,6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589B9119" w14:textId="54407C87" w:rsidR="00E657D7" w:rsidRDefault="00E657D7" w:rsidP="003F02A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764AFC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Bidgerdii Community Health Service, 88 High Street Berserker QLD 4701</w:t>
            </w:r>
            <w:r w:rsidR="00D45E2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; McNamara Family Trust, 52 Gregory Street, Parap, Northern Territory, Australia.</w:t>
            </w:r>
          </w:p>
          <w:p w14:paraId="4EFE8E83" w14:textId="597D5852" w:rsidR="00E657D7" w:rsidRDefault="00E657D7" w:rsidP="003F02A7">
            <w:pPr>
              <w:spacing w:before="120" w:after="12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vertAlign w:val="superscript"/>
              </w:rPr>
              <w:t>2</w:t>
            </w:r>
            <w:r w:rsidRPr="006A2501">
              <w:rPr>
                <w:rFonts w:ascii="Arial" w:hAnsi="Arial" w:cs="Arial"/>
                <w:i/>
                <w:iCs/>
              </w:rPr>
              <w:t xml:space="preserve"> </w:t>
            </w:r>
            <w:r w:rsidRPr="006A250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College of Health and Human Sciences, Charles Darwin University, Darwin, Northern Territory, Australia.</w:t>
            </w:r>
          </w:p>
          <w:p w14:paraId="00D037EF" w14:textId="5C4C457A" w:rsidR="00E657D7" w:rsidRPr="00E657D7" w:rsidRDefault="00E657D7" w:rsidP="003F02A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iCs/>
                <w:vertAlign w:val="superscript"/>
              </w:rPr>
              <w:t>3</w:t>
            </w:r>
            <w:r w:rsidRPr="006A2501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Department of Technical Physics, University of Eastern Finland, Kuopio, Northern Savonia, Finland</w:t>
            </w:r>
            <w:r w:rsidRPr="006A250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.</w:t>
            </w:r>
          </w:p>
          <w:p w14:paraId="1B628F08" w14:textId="2F15DB8E" w:rsidR="009D73E0" w:rsidRDefault="00E657D7" w:rsidP="003F02A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4 </w:t>
            </w:r>
            <w:r w:rsidR="00B37996" w:rsidRPr="005078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Darwin Respiratory and Sleep Health, Darwin Private Hospital, Darwin, Northern Territory, Australia.</w:t>
            </w:r>
          </w:p>
          <w:p w14:paraId="20DAC0D8" w14:textId="1A7801D0" w:rsidR="00E657D7" w:rsidRDefault="00E657D7" w:rsidP="003F02A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5 </w:t>
            </w:r>
            <w:r w:rsidRPr="005078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Respiratory and Sleep Medicine, Royal Darwin Hospital, Darwin, Northern Territory, Australia.</w:t>
            </w:r>
          </w:p>
          <w:p w14:paraId="5CD444E5" w14:textId="00E34E2C" w:rsidR="003F02A7" w:rsidRDefault="003F02A7" w:rsidP="003F02A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E657D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E657D7" w:rsidRPr="005078D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Flinders University, College of Medicine and Public Health, Darwin, Northern Territory, Australia.</w:t>
            </w:r>
          </w:p>
          <w:p w14:paraId="45ED36BF" w14:textId="03BE38A1" w:rsidR="003F02A7" w:rsidRPr="00646DE4" w:rsidRDefault="003F02A7" w:rsidP="003F02A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7</w:t>
            </w:r>
            <w:r w:rsidRPr="003F02A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Department of Infectious Diseases, Royal Darwin Hospital, Darwin, Northern Territory, Australia.</w:t>
            </w:r>
          </w:p>
        </w:tc>
      </w:tr>
      <w:tr w:rsidR="001564A4" w:rsidRPr="0050053A" w14:paraId="6DAF615A" w14:textId="77777777" w:rsidTr="00D72F37">
        <w:trPr>
          <w:trHeight w:hRule="exact" w:val="8657"/>
          <w:jc w:val="center"/>
        </w:trPr>
        <w:tc>
          <w:tcPr>
            <w:tcW w:w="8640" w:type="dxa"/>
            <w:shd w:val="clear" w:color="auto" w:fill="auto"/>
          </w:tcPr>
          <w:p w14:paraId="18DE4C7A" w14:textId="0D24F5DE" w:rsidR="0023132A" w:rsidRPr="00E81103" w:rsidRDefault="001564A4" w:rsidP="00E8110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NZ" w:eastAsia="en-NZ"/>
              </w:rPr>
            </w:pPr>
            <w:r w:rsidRPr="00E81103">
              <w:rPr>
                <w:rStyle w:val="A4"/>
                <w:rFonts w:ascii="Arial" w:hAnsi="Arial" w:cs="Arial"/>
                <w:b/>
                <w:bCs/>
              </w:rPr>
              <w:lastRenderedPageBreak/>
              <w:t xml:space="preserve">Introduction/Aim: </w:t>
            </w:r>
            <w:r w:rsidR="007321C0" w:rsidRPr="00E81103">
              <w:rPr>
                <w:rStyle w:val="A4"/>
                <w:rFonts w:ascii="Arial" w:hAnsi="Arial" w:cs="Arial"/>
                <w:lang w:val="en-NZ" w:eastAsia="en-NZ"/>
              </w:rPr>
              <w:t xml:space="preserve">This study aims to describe the sputum microbiology results and associated relevant </w:t>
            </w:r>
            <w:r w:rsidR="00B37996" w:rsidRPr="00E81103">
              <w:rPr>
                <w:rStyle w:val="A4"/>
                <w:rFonts w:ascii="Arial" w:hAnsi="Arial" w:cs="Arial"/>
                <w:lang w:val="en-NZ" w:eastAsia="en-NZ"/>
              </w:rPr>
              <w:t>clinical parameters amongst an adult Aboriginal Australian cohort diagnosed to have bronchiectasis over a ten-year period (2011-2020) in the Top End</w:t>
            </w:r>
            <w:r w:rsidR="009D73E0" w:rsidRPr="00E81103">
              <w:rPr>
                <w:rStyle w:val="A4"/>
                <w:rFonts w:ascii="Arial" w:hAnsi="Arial" w:cs="Arial"/>
                <w:lang w:val="en-NZ" w:eastAsia="en-NZ"/>
              </w:rPr>
              <w:t xml:space="preserve">, </w:t>
            </w:r>
            <w:r w:rsidR="00B37996" w:rsidRPr="00E81103">
              <w:rPr>
                <w:rStyle w:val="A4"/>
                <w:rFonts w:ascii="Arial" w:hAnsi="Arial" w:cs="Arial"/>
                <w:lang w:val="en-NZ" w:eastAsia="en-NZ"/>
              </w:rPr>
              <w:t>N</w:t>
            </w:r>
            <w:r w:rsidR="00C5286B" w:rsidRPr="00E81103">
              <w:rPr>
                <w:rStyle w:val="A4"/>
                <w:rFonts w:ascii="Arial" w:hAnsi="Arial" w:cs="Arial"/>
                <w:lang w:val="en-NZ" w:eastAsia="en-NZ"/>
              </w:rPr>
              <w:t xml:space="preserve">orthern </w:t>
            </w:r>
            <w:r w:rsidR="00B37996" w:rsidRPr="00E81103">
              <w:rPr>
                <w:rStyle w:val="A4"/>
                <w:rFonts w:ascii="Arial" w:hAnsi="Arial" w:cs="Arial"/>
                <w:lang w:val="en-NZ" w:eastAsia="en-NZ"/>
              </w:rPr>
              <w:t>T</w:t>
            </w:r>
            <w:r w:rsidR="00C5286B" w:rsidRPr="00E81103">
              <w:rPr>
                <w:rStyle w:val="A4"/>
                <w:rFonts w:ascii="Arial" w:hAnsi="Arial" w:cs="Arial"/>
                <w:lang w:val="en-NZ" w:eastAsia="en-NZ"/>
              </w:rPr>
              <w:t>erritory</w:t>
            </w:r>
            <w:r w:rsidR="00B37996" w:rsidRPr="00E81103">
              <w:rPr>
                <w:rStyle w:val="A4"/>
                <w:rFonts w:ascii="Arial" w:hAnsi="Arial" w:cs="Arial"/>
                <w:lang w:val="en-NZ" w:eastAsia="en-NZ"/>
              </w:rPr>
              <w:t xml:space="preserve"> of Australia.</w:t>
            </w:r>
          </w:p>
          <w:p w14:paraId="69E0C16C" w14:textId="215E9896" w:rsidR="0023132A" w:rsidRPr="00E81103" w:rsidRDefault="001564A4" w:rsidP="00E81103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 w:rsidRPr="00E81103">
              <w:rPr>
                <w:rStyle w:val="A4"/>
                <w:b/>
                <w:bCs/>
              </w:rPr>
              <w:t xml:space="preserve">Methods: </w:t>
            </w:r>
            <w:r w:rsidR="00B37996" w:rsidRPr="00E81103">
              <w:rPr>
                <w:rStyle w:val="A4"/>
              </w:rPr>
              <w:t>Aboriginal</w:t>
            </w:r>
            <w:r w:rsidR="000336F6" w:rsidRPr="00E81103">
              <w:rPr>
                <w:rStyle w:val="A4"/>
              </w:rPr>
              <w:t xml:space="preserve"> Australians aged &gt;18 years with chest computed tomography (CT) confirmed bronchiectasis were</w:t>
            </w:r>
            <w:r w:rsidR="00646DE4" w:rsidRPr="00E81103">
              <w:rPr>
                <w:rStyle w:val="A4"/>
              </w:rPr>
              <w:t xml:space="preserve"> included</w:t>
            </w:r>
            <w:r w:rsidR="000336F6" w:rsidRPr="00E81103">
              <w:rPr>
                <w:rStyle w:val="A4"/>
              </w:rPr>
              <w:t>.</w:t>
            </w:r>
            <w:r w:rsidR="008355E9" w:rsidRPr="00E81103">
              <w:rPr>
                <w:sz w:val="22"/>
                <w:szCs w:val="22"/>
              </w:rPr>
              <w:t xml:space="preserve"> </w:t>
            </w:r>
            <w:r w:rsidR="008355E9" w:rsidRPr="00E81103">
              <w:rPr>
                <w:rStyle w:val="A4"/>
              </w:rPr>
              <w:t>All available sputum microbiology results during the study window were collected for all patients who recorded to have sputum culture undertaken, irrespective</w:t>
            </w:r>
            <w:r w:rsidR="006C6738" w:rsidRPr="00E81103">
              <w:rPr>
                <w:rStyle w:val="A4"/>
              </w:rPr>
              <w:t xml:space="preserve"> if</w:t>
            </w:r>
            <w:r w:rsidR="008355E9" w:rsidRPr="00E81103">
              <w:rPr>
                <w:rStyle w:val="A4"/>
              </w:rPr>
              <w:t xml:space="preserve"> during ambulatory out-patient’s settings or during hospital admissions</w:t>
            </w:r>
            <w:r w:rsidR="002625E0" w:rsidRPr="00E81103">
              <w:rPr>
                <w:rStyle w:val="A4"/>
              </w:rPr>
              <w:t>.</w:t>
            </w:r>
          </w:p>
          <w:p w14:paraId="565EB09D" w14:textId="1D1DD9D3" w:rsidR="0023132A" w:rsidRPr="00E81103" w:rsidRDefault="001564A4" w:rsidP="00E81103">
            <w:pPr>
              <w:pStyle w:val="Pa12"/>
              <w:jc w:val="both"/>
              <w:rPr>
                <w:sz w:val="22"/>
                <w:szCs w:val="22"/>
              </w:rPr>
            </w:pPr>
            <w:r w:rsidRPr="00E81103">
              <w:rPr>
                <w:rStyle w:val="A4"/>
                <w:b/>
                <w:bCs/>
              </w:rPr>
              <w:t xml:space="preserve">Results: </w:t>
            </w:r>
            <w:r w:rsidR="00DE44AE" w:rsidRPr="00E81103">
              <w:rPr>
                <w:rStyle w:val="A4"/>
              </w:rPr>
              <w:t xml:space="preserve">Of 459 total patients, sputum </w:t>
            </w:r>
            <w:r w:rsidR="009D73E0" w:rsidRPr="00E81103">
              <w:rPr>
                <w:rStyle w:val="A4"/>
              </w:rPr>
              <w:t xml:space="preserve">results </w:t>
            </w:r>
            <w:r w:rsidR="00DE44AE" w:rsidRPr="00E81103">
              <w:rPr>
                <w:rStyle w:val="A4"/>
              </w:rPr>
              <w:t xml:space="preserve">were available for 425 (92.6%). </w:t>
            </w:r>
            <w:r w:rsidR="00DE44AE" w:rsidRPr="00DE03BE">
              <w:rPr>
                <w:rStyle w:val="A4"/>
                <w:i/>
              </w:rPr>
              <w:t>Haemophil</w:t>
            </w:r>
            <w:r w:rsidR="007B6864" w:rsidRPr="00DE03BE">
              <w:rPr>
                <w:rStyle w:val="A4"/>
                <w:i/>
              </w:rPr>
              <w:t>us</w:t>
            </w:r>
            <w:r w:rsidR="007B6864">
              <w:rPr>
                <w:rStyle w:val="A4"/>
              </w:rPr>
              <w:t xml:space="preserve"> species (spp.) </w:t>
            </w:r>
            <w:r w:rsidR="00DE44AE" w:rsidRPr="00E81103">
              <w:rPr>
                <w:rStyle w:val="A4"/>
              </w:rPr>
              <w:t xml:space="preserve"> were the most common (62.4%), followed by </w:t>
            </w:r>
            <w:r w:rsidR="005E7577">
              <w:rPr>
                <w:rStyle w:val="A4"/>
              </w:rPr>
              <w:t>F</w:t>
            </w:r>
            <w:r w:rsidR="00ED4C1E">
              <w:rPr>
                <w:rStyle w:val="A4"/>
              </w:rPr>
              <w:t xml:space="preserve">ungi </w:t>
            </w:r>
            <w:r w:rsidR="00DE44AE" w:rsidRPr="00E81103">
              <w:rPr>
                <w:rStyle w:val="A4"/>
              </w:rPr>
              <w:t xml:space="preserve"> (52.5%)</w:t>
            </w:r>
            <w:r w:rsidR="00ED4C1E">
              <w:rPr>
                <w:rStyle w:val="A4"/>
              </w:rPr>
              <w:t xml:space="preserve"> including</w:t>
            </w:r>
            <w:r w:rsidR="00E81103">
              <w:t xml:space="preserve"> </w:t>
            </w:r>
            <w:r w:rsidR="00E81103" w:rsidRPr="00DE03BE">
              <w:rPr>
                <w:rStyle w:val="A4"/>
                <w:i/>
              </w:rPr>
              <w:t>Aspergillus</w:t>
            </w:r>
            <w:r w:rsidR="007B6864">
              <w:rPr>
                <w:rStyle w:val="A4"/>
              </w:rPr>
              <w:t xml:space="preserve"> spp.</w:t>
            </w:r>
            <w:r w:rsidR="00E81103" w:rsidRPr="00E81103">
              <w:rPr>
                <w:rStyle w:val="A4"/>
              </w:rPr>
              <w:t xml:space="preserve"> (8.7%)</w:t>
            </w:r>
            <w:r w:rsidR="00E81103">
              <w:rPr>
                <w:rStyle w:val="A4"/>
              </w:rPr>
              <w:t>,</w:t>
            </w:r>
            <w:r w:rsidR="00DE44AE" w:rsidRPr="00E81103">
              <w:rPr>
                <w:rStyle w:val="A4"/>
              </w:rPr>
              <w:t xml:space="preserve"> Streptococci (35.3%) (including </w:t>
            </w:r>
            <w:r w:rsidR="00DE44AE" w:rsidRPr="00E81103">
              <w:rPr>
                <w:rStyle w:val="A4"/>
                <w:i/>
                <w:iCs/>
              </w:rPr>
              <w:t>S. pneumoniae</w:t>
            </w:r>
            <w:r w:rsidR="00DE44AE" w:rsidRPr="00E81103">
              <w:rPr>
                <w:rStyle w:val="A4"/>
              </w:rPr>
              <w:t xml:space="preserve"> 34.1%), </w:t>
            </w:r>
            <w:r w:rsidR="00DE44AE" w:rsidRPr="00DE03BE">
              <w:rPr>
                <w:rStyle w:val="A4"/>
                <w:i/>
              </w:rPr>
              <w:t>Moraxella</w:t>
            </w:r>
            <w:r w:rsidR="00ED4C1E">
              <w:rPr>
                <w:rStyle w:val="A4"/>
              </w:rPr>
              <w:t xml:space="preserve"> spp.</w:t>
            </w:r>
            <w:r w:rsidR="00DE44AE" w:rsidRPr="00E81103">
              <w:rPr>
                <w:rStyle w:val="A4"/>
              </w:rPr>
              <w:t xml:space="preserve"> (27.5%), </w:t>
            </w:r>
            <w:r w:rsidR="00DE44AE" w:rsidRPr="00DE03BE">
              <w:rPr>
                <w:rStyle w:val="A4"/>
                <w:i/>
              </w:rPr>
              <w:t>Pseudomonas</w:t>
            </w:r>
            <w:r w:rsidR="00DE44AE" w:rsidRPr="00E81103">
              <w:rPr>
                <w:rStyle w:val="A4"/>
              </w:rPr>
              <w:t xml:space="preserve"> </w:t>
            </w:r>
            <w:r w:rsidR="00ED4C1E">
              <w:rPr>
                <w:rStyle w:val="A4"/>
              </w:rPr>
              <w:t xml:space="preserve">spp. </w:t>
            </w:r>
            <w:r w:rsidR="00DE44AE" w:rsidRPr="00E81103">
              <w:rPr>
                <w:rStyle w:val="A4"/>
              </w:rPr>
              <w:t xml:space="preserve">(33.6%) (including </w:t>
            </w:r>
            <w:r w:rsidR="00DE44AE" w:rsidRPr="00E81103">
              <w:rPr>
                <w:rStyle w:val="A4"/>
                <w:i/>
                <w:iCs/>
              </w:rPr>
              <w:t xml:space="preserve">P. aeruginosa </w:t>
            </w:r>
            <w:r w:rsidR="00DE44AE" w:rsidRPr="00E81103">
              <w:rPr>
                <w:sz w:val="22"/>
                <w:szCs w:val="22"/>
              </w:rPr>
              <w:t xml:space="preserve">31.8%), </w:t>
            </w:r>
            <w:r w:rsidR="00D72F37" w:rsidRPr="00E81103">
              <w:rPr>
                <w:sz w:val="22"/>
                <w:szCs w:val="22"/>
              </w:rPr>
              <w:t>S</w:t>
            </w:r>
            <w:r w:rsidR="00DE44AE" w:rsidRPr="00E81103">
              <w:rPr>
                <w:sz w:val="22"/>
                <w:szCs w:val="22"/>
              </w:rPr>
              <w:t xml:space="preserve">taphylococci (15.1%) (including </w:t>
            </w:r>
            <w:r w:rsidR="00DE44AE" w:rsidRPr="00E81103">
              <w:rPr>
                <w:i/>
                <w:iCs/>
                <w:sz w:val="22"/>
                <w:szCs w:val="22"/>
              </w:rPr>
              <w:t>S. aureus</w:t>
            </w:r>
            <w:r w:rsidR="00DE44AE" w:rsidRPr="00E81103">
              <w:rPr>
                <w:sz w:val="22"/>
                <w:szCs w:val="22"/>
              </w:rPr>
              <w:t xml:space="preserve"> 14.6%), </w:t>
            </w:r>
            <w:r w:rsidR="00D72F37" w:rsidRPr="00E81103">
              <w:rPr>
                <w:sz w:val="22"/>
                <w:szCs w:val="22"/>
              </w:rPr>
              <w:t>M</w:t>
            </w:r>
            <w:r w:rsidR="00DE44AE" w:rsidRPr="00E81103">
              <w:rPr>
                <w:sz w:val="22"/>
                <w:szCs w:val="22"/>
              </w:rPr>
              <w:t>ycobacteri</w:t>
            </w:r>
            <w:r w:rsidR="00ED4C1E">
              <w:rPr>
                <w:sz w:val="22"/>
                <w:szCs w:val="22"/>
              </w:rPr>
              <w:t>a</w:t>
            </w:r>
            <w:r w:rsidR="00DE44AE" w:rsidRPr="00E81103">
              <w:rPr>
                <w:sz w:val="22"/>
                <w:szCs w:val="22"/>
              </w:rPr>
              <w:t xml:space="preserve"> (12.5%) (including </w:t>
            </w:r>
            <w:r w:rsidR="00DE44AE" w:rsidRPr="00E81103">
              <w:rPr>
                <w:i/>
                <w:iCs/>
                <w:sz w:val="22"/>
                <w:szCs w:val="22"/>
              </w:rPr>
              <w:t>M. tuberculosis</w:t>
            </w:r>
            <w:r w:rsidR="00DE44AE" w:rsidRPr="00E81103">
              <w:rPr>
                <w:sz w:val="22"/>
                <w:szCs w:val="22"/>
              </w:rPr>
              <w:t xml:space="preserve"> 1.6%), </w:t>
            </w:r>
            <w:r w:rsidR="00DE44AE" w:rsidRPr="00DE03BE">
              <w:rPr>
                <w:i/>
                <w:sz w:val="22"/>
                <w:szCs w:val="22"/>
              </w:rPr>
              <w:t>Klebsiella</w:t>
            </w:r>
            <w:r w:rsidR="00ED4C1E">
              <w:rPr>
                <w:sz w:val="22"/>
                <w:szCs w:val="22"/>
              </w:rPr>
              <w:t xml:space="preserve"> spp.</w:t>
            </w:r>
            <w:r w:rsidR="00DE44AE" w:rsidRPr="00E81103">
              <w:rPr>
                <w:sz w:val="22"/>
                <w:szCs w:val="22"/>
              </w:rPr>
              <w:t xml:space="preserve"> (6.8%) and </w:t>
            </w:r>
            <w:r w:rsidR="00D72F37" w:rsidRPr="00DE03BE">
              <w:rPr>
                <w:i/>
                <w:sz w:val="22"/>
                <w:szCs w:val="22"/>
              </w:rPr>
              <w:t>B</w:t>
            </w:r>
            <w:r w:rsidR="00DE44AE" w:rsidRPr="00DE03BE">
              <w:rPr>
                <w:i/>
                <w:sz w:val="22"/>
                <w:szCs w:val="22"/>
              </w:rPr>
              <w:t>urkholderia</w:t>
            </w:r>
            <w:r w:rsidR="00DE44AE" w:rsidRPr="00E81103">
              <w:rPr>
                <w:sz w:val="22"/>
                <w:szCs w:val="22"/>
              </w:rPr>
              <w:t xml:space="preserve"> </w:t>
            </w:r>
            <w:r w:rsidR="00ED4C1E">
              <w:rPr>
                <w:sz w:val="22"/>
                <w:szCs w:val="22"/>
              </w:rPr>
              <w:t xml:space="preserve">spp. </w:t>
            </w:r>
            <w:r w:rsidR="00DE44AE" w:rsidRPr="00E81103">
              <w:rPr>
                <w:sz w:val="22"/>
                <w:szCs w:val="22"/>
              </w:rPr>
              <w:t>(4.7%)</w:t>
            </w:r>
            <w:r w:rsidR="009D73E0" w:rsidRPr="00E81103">
              <w:rPr>
                <w:sz w:val="22"/>
                <w:szCs w:val="22"/>
              </w:rPr>
              <w:t>.</w:t>
            </w:r>
            <w:r w:rsidR="00D72F37" w:rsidRPr="00E81103">
              <w:rPr>
                <w:sz w:val="22"/>
                <w:szCs w:val="22"/>
              </w:rPr>
              <w:t xml:space="preserve"> Most patients (66.6%) </w:t>
            </w:r>
            <w:r w:rsidR="00ED4C1E">
              <w:rPr>
                <w:sz w:val="22"/>
                <w:szCs w:val="22"/>
              </w:rPr>
              <w:t>cultured</w:t>
            </w:r>
            <w:r w:rsidR="00ED4C1E" w:rsidRPr="00E81103">
              <w:rPr>
                <w:sz w:val="22"/>
                <w:szCs w:val="22"/>
              </w:rPr>
              <w:t xml:space="preserve"> </w:t>
            </w:r>
            <w:r w:rsidR="00E81103" w:rsidRPr="00E81103">
              <w:rPr>
                <w:sz w:val="22"/>
                <w:szCs w:val="22"/>
              </w:rPr>
              <w:t xml:space="preserve">polymicrobial </w:t>
            </w:r>
            <w:r w:rsidR="00D72F37" w:rsidRPr="00E81103">
              <w:rPr>
                <w:sz w:val="22"/>
                <w:szCs w:val="22"/>
              </w:rPr>
              <w:t xml:space="preserve">organisms. </w:t>
            </w:r>
            <w:r w:rsidR="00E81103" w:rsidRPr="00E81103">
              <w:rPr>
                <w:sz w:val="22"/>
                <w:szCs w:val="22"/>
              </w:rPr>
              <w:t xml:space="preserve">Concurrent presence </w:t>
            </w:r>
            <w:r w:rsidR="00DE44AE" w:rsidRPr="00E81103">
              <w:rPr>
                <w:sz w:val="22"/>
                <w:szCs w:val="22"/>
              </w:rPr>
              <w:t xml:space="preserve">of Streptococci and </w:t>
            </w:r>
            <w:r w:rsidR="00DE44AE" w:rsidRPr="00DE03BE">
              <w:rPr>
                <w:i/>
                <w:sz w:val="22"/>
                <w:szCs w:val="22"/>
              </w:rPr>
              <w:t>Haemophilus</w:t>
            </w:r>
            <w:r w:rsidR="00DE44AE" w:rsidRPr="00E81103">
              <w:rPr>
                <w:sz w:val="22"/>
                <w:szCs w:val="22"/>
              </w:rPr>
              <w:t xml:space="preserve"> </w:t>
            </w:r>
            <w:r w:rsidR="00ED4C1E">
              <w:rPr>
                <w:sz w:val="22"/>
                <w:szCs w:val="22"/>
              </w:rPr>
              <w:t>spp.</w:t>
            </w:r>
            <w:r w:rsidR="00ED4C1E" w:rsidRPr="00E81103">
              <w:rPr>
                <w:sz w:val="22"/>
                <w:szCs w:val="22"/>
              </w:rPr>
              <w:t xml:space="preserve"> </w:t>
            </w:r>
            <w:r w:rsidR="00DE44AE" w:rsidRPr="00E81103">
              <w:rPr>
                <w:sz w:val="22"/>
                <w:szCs w:val="22"/>
              </w:rPr>
              <w:t>were relatively common (R</w:t>
            </w:r>
            <w:r w:rsidR="00DE44AE" w:rsidRPr="00E81103">
              <w:rPr>
                <w:sz w:val="22"/>
                <w:szCs w:val="22"/>
                <w:vertAlign w:val="superscript"/>
              </w:rPr>
              <w:t>2</w:t>
            </w:r>
            <w:r w:rsidR="00DE44AE" w:rsidRPr="00E81103">
              <w:rPr>
                <w:sz w:val="22"/>
                <w:szCs w:val="22"/>
              </w:rPr>
              <w:t xml:space="preserve">=0.32, p&lt;0.001), as were Streptococci and </w:t>
            </w:r>
            <w:r w:rsidR="00DE44AE" w:rsidRPr="00DE03BE">
              <w:rPr>
                <w:i/>
                <w:sz w:val="22"/>
                <w:szCs w:val="22"/>
              </w:rPr>
              <w:t>Moraxella</w:t>
            </w:r>
            <w:r w:rsidR="00DE44AE" w:rsidRPr="00E81103">
              <w:rPr>
                <w:sz w:val="22"/>
                <w:szCs w:val="22"/>
              </w:rPr>
              <w:t xml:space="preserve"> (R</w:t>
            </w:r>
            <w:r w:rsidR="00DE44AE" w:rsidRPr="00E81103">
              <w:rPr>
                <w:sz w:val="22"/>
                <w:szCs w:val="22"/>
                <w:vertAlign w:val="superscript"/>
              </w:rPr>
              <w:t>2</w:t>
            </w:r>
            <w:r w:rsidR="00DE44AE" w:rsidRPr="00E81103">
              <w:rPr>
                <w:sz w:val="22"/>
                <w:szCs w:val="22"/>
              </w:rPr>
              <w:t xml:space="preserve">=0.32, p&lt;0.001), </w:t>
            </w:r>
            <w:r w:rsidR="00DE44AE" w:rsidRPr="00DE03BE">
              <w:rPr>
                <w:i/>
                <w:sz w:val="22"/>
                <w:szCs w:val="22"/>
              </w:rPr>
              <w:t>Haemophilus</w:t>
            </w:r>
            <w:r w:rsidR="00ED4C1E">
              <w:rPr>
                <w:sz w:val="22"/>
                <w:szCs w:val="22"/>
              </w:rPr>
              <w:t xml:space="preserve"> spp.</w:t>
            </w:r>
            <w:r w:rsidR="00DE44AE" w:rsidRPr="00E81103">
              <w:rPr>
                <w:sz w:val="22"/>
                <w:szCs w:val="22"/>
              </w:rPr>
              <w:t xml:space="preserve"> and </w:t>
            </w:r>
            <w:r w:rsidR="00DE44AE" w:rsidRPr="00DE03BE">
              <w:rPr>
                <w:i/>
                <w:sz w:val="22"/>
                <w:szCs w:val="22"/>
              </w:rPr>
              <w:t>Moraxella</w:t>
            </w:r>
            <w:r w:rsidR="00DE44AE" w:rsidRPr="00E81103">
              <w:rPr>
                <w:sz w:val="22"/>
                <w:szCs w:val="22"/>
              </w:rPr>
              <w:t xml:space="preserve"> </w:t>
            </w:r>
            <w:r w:rsidR="00ED4C1E">
              <w:rPr>
                <w:sz w:val="22"/>
                <w:szCs w:val="22"/>
              </w:rPr>
              <w:t xml:space="preserve">spp. </w:t>
            </w:r>
            <w:r w:rsidR="00DE44AE" w:rsidRPr="00E81103">
              <w:rPr>
                <w:sz w:val="22"/>
                <w:szCs w:val="22"/>
              </w:rPr>
              <w:t>(R</w:t>
            </w:r>
            <w:r w:rsidR="00DE44AE" w:rsidRPr="00E81103">
              <w:rPr>
                <w:sz w:val="22"/>
                <w:szCs w:val="22"/>
                <w:vertAlign w:val="superscript"/>
              </w:rPr>
              <w:t>2</w:t>
            </w:r>
            <w:r w:rsidR="00DE44AE" w:rsidRPr="00E81103">
              <w:rPr>
                <w:sz w:val="22"/>
                <w:szCs w:val="22"/>
              </w:rPr>
              <w:t xml:space="preserve">=0.26, p&lt;0.001), and </w:t>
            </w:r>
            <w:r w:rsidR="00DE44AE" w:rsidRPr="00DE03BE">
              <w:rPr>
                <w:i/>
                <w:sz w:val="22"/>
                <w:szCs w:val="22"/>
              </w:rPr>
              <w:t>Pseudomonas</w:t>
            </w:r>
            <w:r w:rsidR="00ED4C1E">
              <w:rPr>
                <w:sz w:val="22"/>
                <w:szCs w:val="22"/>
              </w:rPr>
              <w:t xml:space="preserve"> spp.</w:t>
            </w:r>
            <w:r w:rsidR="00DE44AE" w:rsidRPr="00E81103">
              <w:rPr>
                <w:sz w:val="22"/>
                <w:szCs w:val="22"/>
              </w:rPr>
              <w:t xml:space="preserve"> and </w:t>
            </w:r>
            <w:r w:rsidR="00DE44AE" w:rsidRPr="00DE03BE">
              <w:rPr>
                <w:i/>
                <w:sz w:val="22"/>
                <w:szCs w:val="22"/>
              </w:rPr>
              <w:t>Haemophilus</w:t>
            </w:r>
            <w:r w:rsidR="00ED4C1E">
              <w:rPr>
                <w:sz w:val="22"/>
                <w:szCs w:val="22"/>
              </w:rPr>
              <w:t xml:space="preserve"> spp.</w:t>
            </w:r>
            <w:r w:rsidR="00DE44AE" w:rsidRPr="00E81103">
              <w:rPr>
                <w:sz w:val="22"/>
                <w:szCs w:val="22"/>
              </w:rPr>
              <w:t xml:space="preserve"> (R</w:t>
            </w:r>
            <w:r w:rsidR="00DE44AE" w:rsidRPr="00E81103">
              <w:rPr>
                <w:sz w:val="22"/>
                <w:szCs w:val="22"/>
                <w:vertAlign w:val="superscript"/>
              </w:rPr>
              <w:t>2</w:t>
            </w:r>
            <w:r w:rsidR="00DE44AE" w:rsidRPr="00E81103">
              <w:rPr>
                <w:sz w:val="22"/>
                <w:szCs w:val="22"/>
              </w:rPr>
              <w:t>=0.21, p&lt;0.001).</w:t>
            </w:r>
            <w:r w:rsidR="00D73E99" w:rsidRPr="00E81103">
              <w:rPr>
                <w:sz w:val="22"/>
                <w:szCs w:val="22"/>
              </w:rPr>
              <w:t xml:space="preserve"> </w:t>
            </w:r>
            <w:r w:rsidR="00470A14" w:rsidRPr="00E81103">
              <w:rPr>
                <w:sz w:val="22"/>
                <w:szCs w:val="22"/>
              </w:rPr>
              <w:t>In multivariate models, adjusted for age, sex, urban residence</w:t>
            </w:r>
            <w:r w:rsidR="00131D07" w:rsidRPr="00E81103">
              <w:rPr>
                <w:sz w:val="22"/>
                <w:szCs w:val="22"/>
              </w:rPr>
              <w:t xml:space="preserve">, COPD and hypertension, </w:t>
            </w:r>
            <w:r w:rsidR="00D73E99" w:rsidRPr="00E81103">
              <w:rPr>
                <w:sz w:val="22"/>
                <w:szCs w:val="22"/>
              </w:rPr>
              <w:t xml:space="preserve">Haemophili, Fungi, </w:t>
            </w:r>
            <w:r w:rsidR="00D72F37" w:rsidRPr="00E81103">
              <w:rPr>
                <w:sz w:val="22"/>
                <w:szCs w:val="22"/>
              </w:rPr>
              <w:t>S</w:t>
            </w:r>
            <w:r w:rsidR="00D73E99" w:rsidRPr="00E81103">
              <w:rPr>
                <w:sz w:val="22"/>
                <w:szCs w:val="22"/>
              </w:rPr>
              <w:t xml:space="preserve">treptococci, </w:t>
            </w:r>
            <w:r w:rsidR="003F02A7" w:rsidRPr="00DE03BE">
              <w:rPr>
                <w:i/>
                <w:sz w:val="22"/>
                <w:szCs w:val="22"/>
              </w:rPr>
              <w:t>Moraxella</w:t>
            </w:r>
            <w:r w:rsidR="00470A14" w:rsidRPr="00E81103">
              <w:rPr>
                <w:sz w:val="22"/>
                <w:szCs w:val="22"/>
              </w:rPr>
              <w:t xml:space="preserve"> </w:t>
            </w:r>
            <w:r w:rsidR="005E7577">
              <w:rPr>
                <w:sz w:val="22"/>
                <w:szCs w:val="22"/>
              </w:rPr>
              <w:t xml:space="preserve">spp. </w:t>
            </w:r>
            <w:r w:rsidR="00470A14" w:rsidRPr="00E81103">
              <w:rPr>
                <w:sz w:val="22"/>
                <w:szCs w:val="22"/>
              </w:rPr>
              <w:t xml:space="preserve">and </w:t>
            </w:r>
            <w:r w:rsidR="003F02A7" w:rsidRPr="00DE03BE">
              <w:rPr>
                <w:i/>
                <w:sz w:val="22"/>
                <w:szCs w:val="22"/>
              </w:rPr>
              <w:t>Pseudomonas</w:t>
            </w:r>
            <w:r w:rsidR="005E7577">
              <w:rPr>
                <w:sz w:val="22"/>
                <w:szCs w:val="22"/>
              </w:rPr>
              <w:t xml:space="preserve"> spp.</w:t>
            </w:r>
            <w:r w:rsidR="00470A14" w:rsidRPr="00E81103">
              <w:rPr>
                <w:sz w:val="22"/>
                <w:szCs w:val="22"/>
              </w:rPr>
              <w:t xml:space="preserve"> were associated with significantly increased odds of hospitalisation in the last 2 years.</w:t>
            </w:r>
          </w:p>
          <w:p w14:paraId="64C2807F" w14:textId="1D3A2316" w:rsidR="0023132A" w:rsidRPr="00E81103" w:rsidRDefault="001564A4" w:rsidP="00E81103">
            <w:pPr>
              <w:pStyle w:val="Pa12"/>
              <w:jc w:val="both"/>
              <w:rPr>
                <w:color w:val="000000"/>
                <w:sz w:val="22"/>
                <w:szCs w:val="22"/>
              </w:rPr>
            </w:pPr>
            <w:r w:rsidRPr="00E81103">
              <w:rPr>
                <w:rStyle w:val="A4"/>
                <w:b/>
                <w:bCs/>
              </w:rPr>
              <w:t xml:space="preserve">Conclusion: </w:t>
            </w:r>
            <w:r w:rsidR="003F412A">
              <w:rPr>
                <w:rStyle w:val="A4"/>
              </w:rPr>
              <w:t>Aboriginal Australian</w:t>
            </w:r>
            <w:r w:rsidR="003F412A" w:rsidRPr="00E81103">
              <w:rPr>
                <w:rStyle w:val="A4"/>
              </w:rPr>
              <w:t xml:space="preserve"> </w:t>
            </w:r>
            <w:r w:rsidR="00D72F37" w:rsidRPr="00E81103">
              <w:rPr>
                <w:rStyle w:val="A4"/>
              </w:rPr>
              <w:t>patients with bronchiectasis show a high burden of diverse microorganisms in sputum. Several species are associated with increased odds of hospitalisation</w:t>
            </w:r>
            <w:r w:rsidR="00E81103">
              <w:rPr>
                <w:rStyle w:val="A4"/>
              </w:rPr>
              <w:t xml:space="preserve">. The results of this study may be an avenue to guide early interventions and in selecting anti-microbial treatment in the primary health care level to prevent </w:t>
            </w:r>
            <w:r w:rsidR="00DE03BE">
              <w:rPr>
                <w:rStyle w:val="A4"/>
              </w:rPr>
              <w:t xml:space="preserve">recurrent </w:t>
            </w:r>
            <w:r w:rsidR="00E81103">
              <w:rPr>
                <w:rStyle w:val="A4"/>
              </w:rPr>
              <w:t xml:space="preserve">hospitalisations. </w:t>
            </w:r>
          </w:p>
          <w:p w14:paraId="731CD908" w14:textId="26728C5C" w:rsidR="001564A4" w:rsidRDefault="001564A4" w:rsidP="00764AFC">
            <w:pPr>
              <w:pStyle w:val="Pa12"/>
            </w:pPr>
            <w:r w:rsidRPr="00E81103">
              <w:rPr>
                <w:rStyle w:val="A4"/>
                <w:b/>
                <w:bCs/>
              </w:rPr>
              <w:t xml:space="preserve">Grant Support: </w:t>
            </w:r>
            <w:r w:rsidR="005078D4" w:rsidRPr="00E81103">
              <w:rPr>
                <w:rStyle w:val="A4"/>
              </w:rPr>
              <w:t>This research received the TSANZ</w:t>
            </w:r>
            <w:r w:rsidR="007D45B0" w:rsidRPr="00E81103">
              <w:rPr>
                <w:rStyle w:val="A4"/>
              </w:rPr>
              <w:t xml:space="preserve"> - </w:t>
            </w:r>
            <w:r w:rsidR="005078D4" w:rsidRPr="00E81103">
              <w:rPr>
                <w:rStyle w:val="A4"/>
              </w:rPr>
              <w:t>Robert Pierce Grant-In-Aid for Indigenous Lung Health. The TSANZ did not have any role in the study design, data collection</w:t>
            </w:r>
            <w:r w:rsidR="00764AFC">
              <w:rPr>
                <w:rStyle w:val="A4"/>
              </w:rPr>
              <w:t xml:space="preserve">, </w:t>
            </w:r>
            <w:r w:rsidR="005078D4" w:rsidRPr="00E81103">
              <w:rPr>
                <w:rStyle w:val="A4"/>
              </w:rPr>
              <w:t>analysis,</w:t>
            </w:r>
            <w:r w:rsidR="00764AFC">
              <w:rPr>
                <w:rStyle w:val="A4"/>
              </w:rPr>
              <w:t xml:space="preserve"> </w:t>
            </w:r>
            <w:r w:rsidR="005078D4" w:rsidRPr="00E81103">
              <w:rPr>
                <w:rStyle w:val="A4"/>
              </w:rPr>
              <w:t>or</w:t>
            </w:r>
            <w:r w:rsidR="00764AFC">
              <w:rPr>
                <w:rStyle w:val="A4"/>
              </w:rPr>
              <w:t xml:space="preserve"> </w:t>
            </w:r>
            <w:r w:rsidR="005078D4" w:rsidRPr="00E81103">
              <w:rPr>
                <w:rStyle w:val="A4"/>
              </w:rPr>
              <w:t>interpretation.</w:t>
            </w:r>
            <w:r>
              <w:rPr>
                <w:sz w:val="22"/>
                <w:szCs w:val="22"/>
              </w:rPr>
              <w:br/>
            </w:r>
          </w:p>
          <w:p w14:paraId="34BF0A0F" w14:textId="77777777" w:rsidR="001564A4" w:rsidRPr="003E35F0" w:rsidRDefault="001564A4" w:rsidP="00391403">
            <w:pPr>
              <w:pStyle w:val="Default"/>
              <w:jc w:val="both"/>
            </w:pPr>
          </w:p>
          <w:p w14:paraId="1FF1A88F" w14:textId="77777777" w:rsidR="001564A4" w:rsidRPr="0050053A" w:rsidRDefault="001564A4" w:rsidP="00391403">
            <w:pPr>
              <w:pStyle w:val="Pa12"/>
              <w:jc w:val="both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391403">
            <w:pPr>
              <w:pStyle w:val="Default"/>
              <w:jc w:val="both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391403">
            <w:pPr>
              <w:pStyle w:val="Default"/>
              <w:jc w:val="both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  <w:bookmarkEnd w:id="0"/>
    </w:tbl>
    <w:p w14:paraId="7C36A9DC" w14:textId="32A70617" w:rsidR="00E0700F" w:rsidRDefault="00E0700F" w:rsidP="003F02A7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A4"/>
    <w:rsid w:val="00001ED9"/>
    <w:rsid w:val="000336F6"/>
    <w:rsid w:val="00093D4D"/>
    <w:rsid w:val="000B6973"/>
    <w:rsid w:val="00131D07"/>
    <w:rsid w:val="00152B2A"/>
    <w:rsid w:val="001564A4"/>
    <w:rsid w:val="001A5DD1"/>
    <w:rsid w:val="001E15CC"/>
    <w:rsid w:val="0023132A"/>
    <w:rsid w:val="002625E0"/>
    <w:rsid w:val="002D3376"/>
    <w:rsid w:val="002E529E"/>
    <w:rsid w:val="003448A6"/>
    <w:rsid w:val="00344BEA"/>
    <w:rsid w:val="00363D13"/>
    <w:rsid w:val="00374718"/>
    <w:rsid w:val="00391403"/>
    <w:rsid w:val="003F02A7"/>
    <w:rsid w:val="003F412A"/>
    <w:rsid w:val="003F7613"/>
    <w:rsid w:val="00416580"/>
    <w:rsid w:val="00467B23"/>
    <w:rsid w:val="00470A14"/>
    <w:rsid w:val="00477F31"/>
    <w:rsid w:val="004B6D1E"/>
    <w:rsid w:val="0050016A"/>
    <w:rsid w:val="005078D4"/>
    <w:rsid w:val="0051574E"/>
    <w:rsid w:val="005352EA"/>
    <w:rsid w:val="005E7577"/>
    <w:rsid w:val="00602B0A"/>
    <w:rsid w:val="00646DE4"/>
    <w:rsid w:val="00665308"/>
    <w:rsid w:val="00674308"/>
    <w:rsid w:val="006A2501"/>
    <w:rsid w:val="006C6738"/>
    <w:rsid w:val="007321C0"/>
    <w:rsid w:val="00764AFC"/>
    <w:rsid w:val="007B6864"/>
    <w:rsid w:val="007D45B0"/>
    <w:rsid w:val="008019BF"/>
    <w:rsid w:val="008355E9"/>
    <w:rsid w:val="008803FA"/>
    <w:rsid w:val="0089722B"/>
    <w:rsid w:val="008F2C37"/>
    <w:rsid w:val="00903F3E"/>
    <w:rsid w:val="00925221"/>
    <w:rsid w:val="00937ABF"/>
    <w:rsid w:val="00956E0E"/>
    <w:rsid w:val="009D73E0"/>
    <w:rsid w:val="009E0615"/>
    <w:rsid w:val="00A5141B"/>
    <w:rsid w:val="00A83D46"/>
    <w:rsid w:val="00AF7C19"/>
    <w:rsid w:val="00B01064"/>
    <w:rsid w:val="00B10447"/>
    <w:rsid w:val="00B12E32"/>
    <w:rsid w:val="00B37996"/>
    <w:rsid w:val="00B9048F"/>
    <w:rsid w:val="00BA5FF7"/>
    <w:rsid w:val="00C17D0B"/>
    <w:rsid w:val="00C508FF"/>
    <w:rsid w:val="00C5286B"/>
    <w:rsid w:val="00C61A41"/>
    <w:rsid w:val="00D45E27"/>
    <w:rsid w:val="00D72F37"/>
    <w:rsid w:val="00D73E99"/>
    <w:rsid w:val="00DE03BE"/>
    <w:rsid w:val="00DE44AE"/>
    <w:rsid w:val="00E0700F"/>
    <w:rsid w:val="00E076F2"/>
    <w:rsid w:val="00E657D7"/>
    <w:rsid w:val="00E67CB4"/>
    <w:rsid w:val="00E714A6"/>
    <w:rsid w:val="00E81103"/>
    <w:rsid w:val="00E90D02"/>
    <w:rsid w:val="00ED4C1E"/>
    <w:rsid w:val="00F5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C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C1E"/>
    <w:rPr>
      <w:rFonts w:ascii="Segoe UI" w:eastAsia="Times New Roma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344BE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Kelly Claire McNamara</cp:lastModifiedBy>
  <cp:revision>3</cp:revision>
  <dcterms:created xsi:type="dcterms:W3CDTF">2023-10-18T03:22:00Z</dcterms:created>
  <dcterms:modified xsi:type="dcterms:W3CDTF">2023-10-18T03:33:00Z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