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AE77B58" w:rsidR="001564A4" w:rsidRPr="0050053A" w:rsidRDefault="009A117A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Defining </w:t>
            </w:r>
            <w:r w:rsidR="009C6C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 </w:t>
            </w:r>
            <w:r w:rsidR="003723C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bronchodilator response using intra-breath oscillometry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in healthy preschool</w:t>
            </w:r>
            <w:r w:rsidR="009C6C2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ers</w:t>
            </w:r>
            <w:r w:rsidR="007729B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.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69859340" w:rsidR="001564A4" w:rsidRPr="00517A72" w:rsidRDefault="00517A72" w:rsidP="00596F19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Matthew D Wong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Kathleena Condon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Tamara </w:t>
            </w:r>
            <w:r w:rsidR="00333E6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L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Blake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Sadasivam Suresh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Zoltan Hantos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Syeda Farah Zahir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DE64DC">
              <w:rPr>
                <w:rFonts w:ascii="Arial" w:hAnsi="Arial" w:cs="Arial"/>
                <w:sz w:val="22"/>
                <w:szCs w:val="22"/>
                <w:lang w:val="en-US" w:eastAsia="en-GB"/>
              </w:rPr>
              <w:t>Paul D Robinson</w:t>
            </w:r>
            <w:r w:rsidR="00DE64D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DE64D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Peter D Sly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5F979F5" w14:textId="4B2F3DEB" w:rsidR="00517A72" w:rsidRPr="0050053A" w:rsidRDefault="001564A4" w:rsidP="001B292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and Sleep Medicine, Queensland Children’s Hospital, </w:t>
            </w:r>
            <w:r w:rsidR="008A3D0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QLD</w:t>
            </w:r>
            <w:r w:rsidR="00C017B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Australia.</w:t>
            </w:r>
          </w:p>
          <w:p w14:paraId="3BD815D8" w14:textId="26FBDF19" w:rsidR="001564A4" w:rsidRPr="0050053A" w:rsidRDefault="001564A4" w:rsidP="001B292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Child Health Research Centre, The University of Queensland, </w:t>
            </w:r>
            <w:r w:rsidR="008A3D0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QLD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6BCADC27" w14:textId="6D95666E" w:rsidR="001564A4" w:rsidRPr="0050053A" w:rsidRDefault="001564A4" w:rsidP="001B292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Anesthesiology and Intensive Therapy, Semmelweis University, Budapest, Hungary</w:t>
            </w:r>
          </w:p>
          <w:p w14:paraId="45ED36BF" w14:textId="75C63408" w:rsidR="001564A4" w:rsidRPr="0050053A" w:rsidRDefault="001564A4" w:rsidP="001B292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Centre for Health Services Research, The University of Queensland, </w:t>
            </w:r>
            <w:r w:rsidR="008A3D0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QLD</w:t>
            </w:r>
            <w:r w:rsidR="00517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</w:tc>
      </w:tr>
      <w:tr w:rsidR="001564A4" w:rsidRPr="0050053A" w14:paraId="6DAF615A" w14:textId="77777777" w:rsidTr="002A0237">
        <w:trPr>
          <w:trHeight w:hRule="exact" w:val="10095"/>
          <w:jc w:val="center"/>
        </w:trPr>
        <w:tc>
          <w:tcPr>
            <w:tcW w:w="8640" w:type="dxa"/>
            <w:shd w:val="clear" w:color="auto" w:fill="auto"/>
          </w:tcPr>
          <w:p w14:paraId="06F13DBE" w14:textId="3F7CBE74" w:rsidR="00517A72" w:rsidRPr="00775C3F" w:rsidRDefault="001564A4" w:rsidP="00517A72">
            <w:pPr>
              <w:pStyle w:val="Pa12"/>
              <w:rPr>
                <w:i/>
                <w:iCs/>
                <w:sz w:val="22"/>
                <w:szCs w:val="22"/>
                <w:lang w:val="en-AU"/>
              </w:rPr>
            </w:pPr>
            <w:r w:rsidRPr="00775C3F">
              <w:rPr>
                <w:rStyle w:val="A4"/>
                <w:b/>
                <w:bCs/>
              </w:rPr>
              <w:t xml:space="preserve">Introduction/Aim: </w:t>
            </w:r>
            <w:r w:rsidR="00D35E46" w:rsidRPr="00775C3F">
              <w:rPr>
                <w:sz w:val="22"/>
                <w:szCs w:val="22"/>
                <w:lang w:val="en-AU"/>
              </w:rPr>
              <w:t xml:space="preserve">Intra-breath oscillometry (IB-OSC) has shown potential to detect acute airway obstruction and those with recurrent </w:t>
            </w:r>
            <w:r w:rsidR="00164405" w:rsidRPr="00775C3F">
              <w:rPr>
                <w:sz w:val="22"/>
                <w:szCs w:val="22"/>
                <w:lang w:val="en-AU"/>
              </w:rPr>
              <w:t>wheezing</w:t>
            </w:r>
            <w:r w:rsidR="00D35E46" w:rsidRPr="00775C3F">
              <w:rPr>
                <w:sz w:val="22"/>
                <w:szCs w:val="22"/>
                <w:lang w:val="en-AU"/>
              </w:rPr>
              <w:t xml:space="preserve"> in the preschool age range</w:t>
            </w:r>
            <w:r w:rsidR="008C565C">
              <w:rPr>
                <w:sz w:val="22"/>
                <w:szCs w:val="22"/>
                <w:lang w:val="en-AU"/>
              </w:rPr>
              <w:t>. However,</w:t>
            </w:r>
            <w:r w:rsidR="00D35E46" w:rsidRPr="00775C3F">
              <w:rPr>
                <w:sz w:val="22"/>
                <w:szCs w:val="22"/>
                <w:lang w:val="en-AU"/>
              </w:rPr>
              <w:t xml:space="preserve"> normative data on </w:t>
            </w:r>
            <w:r w:rsidR="00517A72" w:rsidRPr="00775C3F">
              <w:rPr>
                <w:sz w:val="22"/>
                <w:szCs w:val="22"/>
                <w:lang w:val="en-AU"/>
              </w:rPr>
              <w:t>bronchodilator response (BDR)</w:t>
            </w:r>
            <w:r w:rsidR="00D35E46" w:rsidRPr="00775C3F">
              <w:rPr>
                <w:sz w:val="22"/>
                <w:szCs w:val="22"/>
                <w:lang w:val="en-AU"/>
              </w:rPr>
              <w:t xml:space="preserve"> is lacking. We aimed to define IB-OSC BDR </w:t>
            </w:r>
            <w:r w:rsidR="00517A72" w:rsidRPr="00775C3F">
              <w:rPr>
                <w:sz w:val="22"/>
                <w:szCs w:val="22"/>
                <w:lang w:val="en-AU"/>
              </w:rPr>
              <w:t>in healthy preschool-aged children.</w:t>
            </w:r>
          </w:p>
          <w:p w14:paraId="5029BAE6" w14:textId="44202E41" w:rsidR="001564A4" w:rsidRPr="00775C3F" w:rsidRDefault="001564A4" w:rsidP="000A28E2">
            <w:pPr>
              <w:pStyle w:val="Pa12"/>
              <w:rPr>
                <w:rStyle w:val="A4"/>
                <w:bCs/>
              </w:rPr>
            </w:pPr>
            <w:r w:rsidRPr="00775C3F">
              <w:rPr>
                <w:rStyle w:val="A4"/>
                <w:b/>
                <w:bCs/>
              </w:rPr>
              <w:t xml:space="preserve">Methods: </w:t>
            </w:r>
            <w:r w:rsidR="00D35E46" w:rsidRPr="00775C3F">
              <w:rPr>
                <w:sz w:val="22"/>
                <w:szCs w:val="22"/>
                <w:lang w:val="en-AU"/>
              </w:rPr>
              <w:t>H</w:t>
            </w:r>
            <w:r w:rsidR="00517A72" w:rsidRPr="00775C3F">
              <w:rPr>
                <w:sz w:val="22"/>
                <w:szCs w:val="22"/>
                <w:lang w:val="en-AU"/>
              </w:rPr>
              <w:t>ealthy 3</w:t>
            </w:r>
            <w:r w:rsidR="00C60D2C" w:rsidRPr="00775C3F">
              <w:rPr>
                <w:sz w:val="22"/>
                <w:szCs w:val="22"/>
                <w:lang w:val="en-AU"/>
              </w:rPr>
              <w:t>-7</w:t>
            </w:r>
            <w:r w:rsidR="00517A72" w:rsidRPr="00775C3F">
              <w:rPr>
                <w:sz w:val="22"/>
                <w:szCs w:val="22"/>
                <w:lang w:val="en-AU"/>
              </w:rPr>
              <w:t>-year-old</w:t>
            </w:r>
            <w:r w:rsidR="00B222F7" w:rsidRPr="00775C3F">
              <w:rPr>
                <w:sz w:val="22"/>
                <w:szCs w:val="22"/>
                <w:lang w:val="en-AU"/>
              </w:rPr>
              <w:t xml:space="preserve"> </w:t>
            </w:r>
            <w:r w:rsidR="008C565C">
              <w:rPr>
                <w:sz w:val="22"/>
                <w:szCs w:val="22"/>
                <w:lang w:val="en-AU"/>
              </w:rPr>
              <w:t>children</w:t>
            </w:r>
            <w:r w:rsidR="00517A72" w:rsidRPr="00775C3F">
              <w:rPr>
                <w:sz w:val="22"/>
                <w:szCs w:val="22"/>
                <w:lang w:val="en-AU"/>
              </w:rPr>
              <w:t xml:space="preserve"> </w:t>
            </w:r>
            <w:r w:rsidR="0098576E" w:rsidRPr="00775C3F">
              <w:rPr>
                <w:sz w:val="22"/>
                <w:szCs w:val="22"/>
                <w:lang w:val="en-AU"/>
              </w:rPr>
              <w:t xml:space="preserve">with no history of wheezing </w:t>
            </w:r>
            <w:r w:rsidR="00D35E46" w:rsidRPr="00775C3F">
              <w:rPr>
                <w:sz w:val="22"/>
                <w:szCs w:val="22"/>
                <w:lang w:val="en-AU"/>
              </w:rPr>
              <w:t>were recruited from</w:t>
            </w:r>
            <w:r w:rsidR="00164405" w:rsidRPr="00775C3F">
              <w:rPr>
                <w:sz w:val="22"/>
                <w:szCs w:val="22"/>
                <w:lang w:val="en-AU"/>
              </w:rPr>
              <w:t xml:space="preserve"> the community.</w:t>
            </w:r>
            <w:r w:rsidR="00D35E46" w:rsidRPr="00775C3F">
              <w:rPr>
                <w:sz w:val="22"/>
                <w:szCs w:val="22"/>
                <w:lang w:val="en-AU"/>
              </w:rPr>
              <w:t xml:space="preserve"> IB-OSC testing was conducted </w:t>
            </w:r>
            <w:r w:rsidR="00980569" w:rsidRPr="00775C3F">
              <w:rPr>
                <w:sz w:val="22"/>
                <w:szCs w:val="22"/>
                <w:lang w:val="en-AU"/>
              </w:rPr>
              <w:t xml:space="preserve">in triplicate </w:t>
            </w:r>
            <w:r w:rsidR="00517A72" w:rsidRPr="00775C3F">
              <w:rPr>
                <w:sz w:val="22"/>
                <w:szCs w:val="22"/>
                <w:lang w:val="en-AU"/>
              </w:rPr>
              <w:t xml:space="preserve">before and </w:t>
            </w:r>
            <w:r w:rsidR="00B222F7" w:rsidRPr="00775C3F">
              <w:rPr>
                <w:sz w:val="22"/>
                <w:szCs w:val="22"/>
                <w:lang w:val="en-AU"/>
              </w:rPr>
              <w:t xml:space="preserve">15 minutes </w:t>
            </w:r>
            <w:r w:rsidR="00517A72" w:rsidRPr="00775C3F">
              <w:rPr>
                <w:sz w:val="22"/>
                <w:szCs w:val="22"/>
                <w:lang w:val="en-AU"/>
              </w:rPr>
              <w:t xml:space="preserve">after salbutamol </w:t>
            </w:r>
            <w:r w:rsidR="00980569" w:rsidRPr="00775C3F">
              <w:rPr>
                <w:sz w:val="22"/>
                <w:szCs w:val="22"/>
                <w:lang w:val="en-AU"/>
              </w:rPr>
              <w:t>(4x100mcg</w:t>
            </w:r>
            <w:r w:rsidR="00B222F7" w:rsidRPr="00775C3F">
              <w:rPr>
                <w:sz w:val="22"/>
                <w:szCs w:val="22"/>
                <w:lang w:val="en-AU"/>
              </w:rPr>
              <w:t xml:space="preserve"> via spacer</w:t>
            </w:r>
            <w:r w:rsidR="00980569" w:rsidRPr="00775C3F">
              <w:rPr>
                <w:sz w:val="22"/>
                <w:szCs w:val="22"/>
                <w:lang w:val="en-AU"/>
              </w:rPr>
              <w:t xml:space="preserve">) </w:t>
            </w:r>
            <w:r w:rsidR="00517A72" w:rsidRPr="00775C3F">
              <w:rPr>
                <w:sz w:val="22"/>
                <w:szCs w:val="22"/>
                <w:lang w:val="en-AU"/>
              </w:rPr>
              <w:t xml:space="preserve">and placebo at separate visits. IB-OSC variables included </w:t>
            </w:r>
            <w:r w:rsidR="00517A72" w:rsidRPr="00775C3F">
              <w:rPr>
                <w:bCs/>
                <w:sz w:val="22"/>
                <w:szCs w:val="22"/>
                <w:lang w:val="en-AU"/>
              </w:rPr>
              <w:t>resistance at end-expiration (ReE)</w:t>
            </w:r>
            <w:r w:rsidR="00980569" w:rsidRPr="00775C3F">
              <w:rPr>
                <w:bCs/>
                <w:sz w:val="22"/>
                <w:szCs w:val="22"/>
                <w:lang w:val="en-AU"/>
              </w:rPr>
              <w:t xml:space="preserve"> and </w:t>
            </w:r>
            <w:r w:rsidR="00517A72" w:rsidRPr="00775C3F">
              <w:rPr>
                <w:bCs/>
                <w:sz w:val="22"/>
                <w:szCs w:val="22"/>
                <w:lang w:val="en-AU"/>
              </w:rPr>
              <w:t>at end-inspiration (ReI)</w:t>
            </w:r>
            <w:r w:rsidR="00135C85">
              <w:rPr>
                <w:bCs/>
                <w:sz w:val="22"/>
                <w:szCs w:val="22"/>
                <w:lang w:val="en-AU"/>
              </w:rPr>
              <w:t xml:space="preserve"> and </w:t>
            </w:r>
            <w:r w:rsidR="00517A72" w:rsidRPr="00775C3F">
              <w:rPr>
                <w:sz w:val="22"/>
                <w:szCs w:val="22"/>
                <w:lang w:val="en-AU"/>
              </w:rPr>
              <w:t>reactance at end-expiration (XeE)</w:t>
            </w:r>
            <w:r w:rsidR="00980569" w:rsidRPr="00775C3F">
              <w:rPr>
                <w:sz w:val="22"/>
                <w:szCs w:val="22"/>
                <w:lang w:val="en-AU"/>
              </w:rPr>
              <w:t xml:space="preserve"> and</w:t>
            </w:r>
            <w:r w:rsidR="00517A72" w:rsidRPr="00775C3F">
              <w:rPr>
                <w:sz w:val="22"/>
                <w:szCs w:val="22"/>
                <w:lang w:val="en-AU"/>
              </w:rPr>
              <w:t xml:space="preserve"> at end-inspiration (XeI</w:t>
            </w:r>
            <w:r w:rsidR="00135C85">
              <w:rPr>
                <w:sz w:val="22"/>
                <w:szCs w:val="22"/>
                <w:lang w:val="en-AU"/>
              </w:rPr>
              <w:t>)</w:t>
            </w:r>
            <w:r w:rsidR="00C017BC" w:rsidRPr="00775C3F">
              <w:rPr>
                <w:sz w:val="22"/>
                <w:szCs w:val="22"/>
                <w:lang w:val="en-AU"/>
              </w:rPr>
              <w:t>.</w:t>
            </w:r>
            <w:r w:rsidR="00051CFE">
              <w:rPr>
                <w:sz w:val="22"/>
                <w:szCs w:val="22"/>
                <w:lang w:val="en-AU"/>
              </w:rPr>
              <w:t xml:space="preserve"> </w:t>
            </w:r>
            <w:r w:rsidR="00051CFE" w:rsidRPr="00775C3F">
              <w:rPr>
                <w:sz w:val="22"/>
                <w:szCs w:val="22"/>
                <w:lang w:val="en-AU"/>
              </w:rPr>
              <w:t>The coefficient of variation (CV) and repeatability of data were calculated</w:t>
            </w:r>
            <w:r w:rsidR="00051CFE">
              <w:rPr>
                <w:sz w:val="22"/>
                <w:szCs w:val="22"/>
                <w:lang w:val="en-AU"/>
              </w:rPr>
              <w:t xml:space="preserve"> for each variable.</w:t>
            </w:r>
            <w:r w:rsidR="00051CFE" w:rsidRPr="00775C3F">
              <w:rPr>
                <w:sz w:val="22"/>
                <w:szCs w:val="22"/>
                <w:lang w:val="en-AU"/>
              </w:rPr>
              <w:t xml:space="preserve"> Bland-Altman limits of agreement (</w:t>
            </w:r>
            <w:r w:rsidR="00051CFE">
              <w:rPr>
                <w:sz w:val="22"/>
                <w:szCs w:val="22"/>
                <w:lang w:val="en-AU"/>
              </w:rPr>
              <w:t>BA-</w:t>
            </w:r>
            <w:r w:rsidR="00051CFE" w:rsidRPr="00775C3F">
              <w:rPr>
                <w:sz w:val="22"/>
                <w:szCs w:val="22"/>
                <w:lang w:val="en-AU"/>
              </w:rPr>
              <w:t xml:space="preserve">LoA) were used to </w:t>
            </w:r>
            <w:r w:rsidR="00051CFE">
              <w:rPr>
                <w:sz w:val="22"/>
                <w:szCs w:val="22"/>
                <w:lang w:val="en-AU"/>
              </w:rPr>
              <w:t>define</w:t>
            </w:r>
            <w:r w:rsidR="00051CFE" w:rsidRPr="00775C3F">
              <w:rPr>
                <w:sz w:val="22"/>
                <w:szCs w:val="22"/>
                <w:lang w:val="en-AU"/>
              </w:rPr>
              <w:t xml:space="preserve"> </w:t>
            </w:r>
            <w:r w:rsidR="00051CFE">
              <w:rPr>
                <w:sz w:val="22"/>
                <w:szCs w:val="22"/>
                <w:lang w:val="en-AU"/>
              </w:rPr>
              <w:t xml:space="preserve">thresholds for an </w:t>
            </w:r>
            <w:r w:rsidR="00051CFE" w:rsidRPr="00775C3F">
              <w:rPr>
                <w:sz w:val="22"/>
                <w:szCs w:val="22"/>
                <w:lang w:val="en-AU"/>
              </w:rPr>
              <w:t xml:space="preserve">absolute </w:t>
            </w:r>
            <w:r w:rsidR="00051CFE">
              <w:rPr>
                <w:sz w:val="22"/>
                <w:szCs w:val="22"/>
                <w:lang w:val="en-AU"/>
              </w:rPr>
              <w:t xml:space="preserve">BDR from placebo and bronchodilator testing. </w:t>
            </w:r>
            <w:r w:rsidR="00AA5CF2">
              <w:rPr>
                <w:sz w:val="22"/>
                <w:szCs w:val="22"/>
                <w:lang w:val="en-AU"/>
              </w:rPr>
              <w:t>A</w:t>
            </w:r>
            <w:r w:rsidR="00051CFE">
              <w:rPr>
                <w:sz w:val="22"/>
                <w:szCs w:val="22"/>
                <w:lang w:val="en-AU"/>
              </w:rPr>
              <w:t xml:space="preserve"> relative BDR was </w:t>
            </w:r>
            <w:r w:rsidR="00AA5CF2">
              <w:rPr>
                <w:sz w:val="22"/>
                <w:szCs w:val="22"/>
                <w:lang w:val="en-AU"/>
              </w:rPr>
              <w:t>taken from</w:t>
            </w:r>
            <w:r w:rsidR="00051CFE">
              <w:rPr>
                <w:sz w:val="22"/>
                <w:szCs w:val="22"/>
                <w:lang w:val="en-AU"/>
              </w:rPr>
              <w:t xml:space="preserve"> the 5</w:t>
            </w:r>
            <w:r w:rsidR="00051CFE" w:rsidRPr="004F5F6E">
              <w:rPr>
                <w:sz w:val="22"/>
                <w:szCs w:val="22"/>
                <w:vertAlign w:val="superscript"/>
                <w:lang w:val="en-AU"/>
              </w:rPr>
              <w:t>th</w:t>
            </w:r>
            <w:r w:rsidR="00051CFE">
              <w:rPr>
                <w:sz w:val="22"/>
                <w:szCs w:val="22"/>
                <w:lang w:val="en-AU"/>
              </w:rPr>
              <w:t xml:space="preserve"> percentile </w:t>
            </w:r>
            <w:r w:rsidR="00051CFE">
              <w:rPr>
                <w:sz w:val="22"/>
                <w:szCs w:val="22"/>
                <w:lang w:val="en-AU"/>
              </w:rPr>
              <w:t>and 95</w:t>
            </w:r>
            <w:r w:rsidR="00051CFE" w:rsidRPr="00051CFE">
              <w:rPr>
                <w:sz w:val="22"/>
                <w:szCs w:val="22"/>
                <w:vertAlign w:val="superscript"/>
                <w:lang w:val="en-AU"/>
              </w:rPr>
              <w:t>th</w:t>
            </w:r>
            <w:r w:rsidR="00051CFE">
              <w:rPr>
                <w:sz w:val="22"/>
                <w:szCs w:val="22"/>
                <w:lang w:val="en-AU"/>
              </w:rPr>
              <w:t xml:space="preserve"> percentile for </w:t>
            </w:r>
            <w:r w:rsidR="00AA5CF2">
              <w:rPr>
                <w:sz w:val="22"/>
                <w:szCs w:val="22"/>
                <w:lang w:val="en-AU"/>
              </w:rPr>
              <w:t xml:space="preserve">resistance and </w:t>
            </w:r>
            <w:r w:rsidR="00051CFE">
              <w:rPr>
                <w:sz w:val="22"/>
                <w:szCs w:val="22"/>
                <w:lang w:val="en-AU"/>
              </w:rPr>
              <w:t>reactance</w:t>
            </w:r>
            <w:r w:rsidR="00AA5CF2">
              <w:rPr>
                <w:sz w:val="22"/>
                <w:szCs w:val="22"/>
                <w:lang w:val="en-AU"/>
              </w:rPr>
              <w:t xml:space="preserve"> variables, respectively.</w:t>
            </w:r>
          </w:p>
          <w:p w14:paraId="474AAC1F" w14:textId="666EBD0E" w:rsidR="00316979" w:rsidRPr="00775C3F" w:rsidRDefault="001564A4" w:rsidP="003E37CA">
            <w:pPr>
              <w:pStyle w:val="Pa12"/>
              <w:rPr>
                <w:sz w:val="22"/>
                <w:szCs w:val="22"/>
                <w:lang w:val="en-AU"/>
              </w:rPr>
            </w:pPr>
            <w:r w:rsidRPr="00775C3F">
              <w:rPr>
                <w:rStyle w:val="A4"/>
                <w:b/>
                <w:bCs/>
              </w:rPr>
              <w:t xml:space="preserve">Results: </w:t>
            </w:r>
            <w:r w:rsidR="008C565C">
              <w:rPr>
                <w:rStyle w:val="A4"/>
              </w:rPr>
              <w:t xml:space="preserve">Sixty-one children </w:t>
            </w:r>
            <w:r w:rsidR="00517A72" w:rsidRPr="00775C3F">
              <w:rPr>
                <w:sz w:val="22"/>
                <w:szCs w:val="22"/>
                <w:lang w:val="en-AU"/>
              </w:rPr>
              <w:t>(5</w:t>
            </w:r>
            <w:r w:rsidR="00B222F7" w:rsidRPr="00775C3F">
              <w:rPr>
                <w:sz w:val="22"/>
                <w:szCs w:val="22"/>
                <w:lang w:val="en-AU"/>
              </w:rPr>
              <w:t>6</w:t>
            </w:r>
            <w:r w:rsidR="00517A72" w:rsidRPr="00775C3F">
              <w:rPr>
                <w:sz w:val="22"/>
                <w:szCs w:val="22"/>
                <w:lang w:val="en-AU"/>
              </w:rPr>
              <w:t>% female)</w:t>
            </w:r>
            <w:r w:rsidR="008C565C">
              <w:rPr>
                <w:sz w:val="22"/>
                <w:szCs w:val="22"/>
                <w:lang w:val="en-AU"/>
              </w:rPr>
              <w:t xml:space="preserve"> completed BDR testing. Thirty-four</w:t>
            </w:r>
            <w:r w:rsidR="00670263" w:rsidRPr="00775C3F">
              <w:rPr>
                <w:sz w:val="22"/>
                <w:szCs w:val="22"/>
                <w:lang w:val="en-AU"/>
              </w:rPr>
              <w:t xml:space="preserve"> </w:t>
            </w:r>
            <w:r w:rsidR="008C565C">
              <w:rPr>
                <w:sz w:val="22"/>
                <w:szCs w:val="22"/>
                <w:lang w:val="en-AU"/>
              </w:rPr>
              <w:t xml:space="preserve">children </w:t>
            </w:r>
            <w:r w:rsidR="00517A72" w:rsidRPr="00775C3F">
              <w:rPr>
                <w:sz w:val="22"/>
                <w:szCs w:val="22"/>
                <w:lang w:val="en-AU"/>
              </w:rPr>
              <w:t>(</w:t>
            </w:r>
            <w:r w:rsidR="00545FC8" w:rsidRPr="00775C3F">
              <w:rPr>
                <w:sz w:val="22"/>
                <w:szCs w:val="22"/>
                <w:lang w:val="en-AU"/>
              </w:rPr>
              <w:t>48.5</w:t>
            </w:r>
            <w:r w:rsidR="00517A72" w:rsidRPr="00775C3F">
              <w:rPr>
                <w:sz w:val="22"/>
                <w:szCs w:val="22"/>
                <w:lang w:val="en-AU"/>
              </w:rPr>
              <w:t>% female)</w:t>
            </w:r>
            <w:r w:rsidR="002E3587" w:rsidRPr="00775C3F">
              <w:rPr>
                <w:sz w:val="22"/>
                <w:szCs w:val="22"/>
                <w:lang w:val="en-AU"/>
              </w:rPr>
              <w:t xml:space="preserve"> </w:t>
            </w:r>
            <w:r w:rsidR="003F32A7" w:rsidRPr="00775C3F">
              <w:rPr>
                <w:sz w:val="22"/>
                <w:szCs w:val="22"/>
                <w:lang w:val="en-AU"/>
              </w:rPr>
              <w:t>completed placebo response testing</w:t>
            </w:r>
            <w:r w:rsidR="008C565C">
              <w:rPr>
                <w:sz w:val="22"/>
                <w:szCs w:val="22"/>
                <w:lang w:val="en-AU"/>
              </w:rPr>
              <w:t xml:space="preserve"> </w:t>
            </w:r>
            <w:r w:rsidR="002E3587" w:rsidRPr="00775C3F">
              <w:rPr>
                <w:sz w:val="22"/>
                <w:szCs w:val="22"/>
                <w:lang w:val="en-AU"/>
              </w:rPr>
              <w:t xml:space="preserve">a </w:t>
            </w:r>
            <w:r w:rsidR="0026009A" w:rsidRPr="00775C3F">
              <w:rPr>
                <w:sz w:val="22"/>
                <w:szCs w:val="22"/>
                <w:lang w:val="en-AU"/>
              </w:rPr>
              <w:t>median</w:t>
            </w:r>
            <w:r w:rsidR="002E3587" w:rsidRPr="00775C3F">
              <w:rPr>
                <w:sz w:val="22"/>
                <w:szCs w:val="22"/>
                <w:lang w:val="en-AU"/>
              </w:rPr>
              <w:t xml:space="preserve"> of 9 weeks </w:t>
            </w:r>
            <w:r w:rsidR="008C565C">
              <w:rPr>
                <w:sz w:val="22"/>
                <w:szCs w:val="22"/>
                <w:lang w:val="en-AU"/>
              </w:rPr>
              <w:t>later</w:t>
            </w:r>
            <w:r w:rsidR="00517A72" w:rsidRPr="00775C3F">
              <w:rPr>
                <w:sz w:val="22"/>
                <w:szCs w:val="22"/>
                <w:lang w:val="en-AU"/>
              </w:rPr>
              <w:t>.</w:t>
            </w:r>
            <w:r w:rsidR="003826FF" w:rsidRPr="00775C3F">
              <w:rPr>
                <w:sz w:val="22"/>
                <w:szCs w:val="22"/>
                <w:lang w:val="en-AU"/>
              </w:rPr>
              <w:t xml:space="preserve"> </w:t>
            </w:r>
            <w:r w:rsidR="00CF18F0" w:rsidRPr="00775C3F">
              <w:rPr>
                <w:sz w:val="22"/>
                <w:szCs w:val="22"/>
                <w:lang w:val="en-AU"/>
              </w:rPr>
              <w:t xml:space="preserve">The </w:t>
            </w:r>
            <w:r w:rsidR="00574B32" w:rsidRPr="00775C3F">
              <w:rPr>
                <w:sz w:val="22"/>
                <w:szCs w:val="22"/>
                <w:lang w:val="en-AU"/>
              </w:rPr>
              <w:t>mean difference of the absolute change following bronchodilator and placebo</w:t>
            </w:r>
            <w:r w:rsidR="0087395D" w:rsidRPr="00775C3F">
              <w:rPr>
                <w:sz w:val="22"/>
                <w:szCs w:val="22"/>
                <w:lang w:val="en-AU"/>
              </w:rPr>
              <w:t xml:space="preserve"> differed for ReE, ReI, XeE, </w:t>
            </w:r>
            <w:r w:rsidR="00135C85">
              <w:rPr>
                <w:sz w:val="22"/>
                <w:szCs w:val="22"/>
                <w:lang w:val="en-AU"/>
              </w:rPr>
              <w:t xml:space="preserve">and </w:t>
            </w:r>
            <w:r w:rsidR="0087395D" w:rsidRPr="00775C3F">
              <w:rPr>
                <w:sz w:val="22"/>
                <w:szCs w:val="22"/>
                <w:lang w:val="en-AU"/>
              </w:rPr>
              <w:t>XeI</w:t>
            </w:r>
            <w:r w:rsidR="0087395D" w:rsidRPr="00775C3F">
              <w:rPr>
                <w:sz w:val="22"/>
                <w:szCs w:val="22"/>
                <w:vertAlign w:val="superscript"/>
                <w:lang w:val="en-AU"/>
              </w:rPr>
              <w:t xml:space="preserve"> </w:t>
            </w:r>
            <w:r w:rsidR="0087395D" w:rsidRPr="00775C3F">
              <w:rPr>
                <w:sz w:val="22"/>
                <w:szCs w:val="22"/>
                <w:lang w:val="en-AU"/>
              </w:rPr>
              <w:t>(</w:t>
            </w:r>
            <w:r w:rsidR="00B222F7" w:rsidRPr="00775C3F">
              <w:rPr>
                <w:sz w:val="22"/>
                <w:szCs w:val="22"/>
                <w:lang w:val="en-AU"/>
              </w:rPr>
              <w:t xml:space="preserve">all </w:t>
            </w:r>
            <w:r w:rsidR="0087395D" w:rsidRPr="00775C3F">
              <w:rPr>
                <w:sz w:val="22"/>
                <w:szCs w:val="22"/>
                <w:lang w:val="en-AU"/>
              </w:rPr>
              <w:t xml:space="preserve">p&lt;0.05). </w:t>
            </w:r>
            <w:r w:rsidR="00B128D7" w:rsidRPr="00775C3F">
              <w:rPr>
                <w:sz w:val="22"/>
                <w:szCs w:val="22"/>
                <w:lang w:val="en-AU"/>
              </w:rPr>
              <w:t>Bland-Altman plots</w:t>
            </w:r>
            <w:r w:rsidR="00E562A6" w:rsidRPr="00775C3F">
              <w:rPr>
                <w:sz w:val="22"/>
                <w:szCs w:val="22"/>
                <w:lang w:val="en-AU"/>
              </w:rPr>
              <w:t xml:space="preserve"> for </w:t>
            </w:r>
            <w:r w:rsidR="00A1220E">
              <w:rPr>
                <w:sz w:val="22"/>
                <w:szCs w:val="22"/>
                <w:lang w:val="en-AU"/>
              </w:rPr>
              <w:t xml:space="preserve">absolute </w:t>
            </w:r>
            <w:r w:rsidR="00921A40">
              <w:rPr>
                <w:sz w:val="22"/>
                <w:szCs w:val="22"/>
                <w:lang w:val="en-AU"/>
              </w:rPr>
              <w:t>BDR demonstrated heteroscedasticity for all</w:t>
            </w:r>
            <w:r w:rsidR="000C4914" w:rsidRPr="00775C3F">
              <w:rPr>
                <w:sz w:val="22"/>
                <w:szCs w:val="22"/>
                <w:lang w:val="en-AU"/>
              </w:rPr>
              <w:t xml:space="preserve"> IB-OSC variables</w:t>
            </w:r>
            <w:r w:rsidR="00775C3F">
              <w:rPr>
                <w:sz w:val="22"/>
                <w:szCs w:val="22"/>
                <w:lang w:val="en-AU"/>
              </w:rPr>
              <w:t>.</w:t>
            </w:r>
            <w:r w:rsidR="00F63A2F">
              <w:rPr>
                <w:sz w:val="22"/>
                <w:szCs w:val="22"/>
                <w:lang w:val="en-AU"/>
              </w:rPr>
              <w:t xml:space="preserve"> </w:t>
            </w:r>
            <w:r w:rsidR="00921A40">
              <w:rPr>
                <w:sz w:val="22"/>
                <w:szCs w:val="22"/>
                <w:lang w:val="en-AU"/>
              </w:rPr>
              <w:t xml:space="preserve">IB-OSC </w:t>
            </w:r>
            <w:r w:rsidR="006E5D16">
              <w:rPr>
                <w:sz w:val="22"/>
                <w:szCs w:val="22"/>
                <w:lang w:val="en-AU"/>
              </w:rPr>
              <w:t>BDR t</w:t>
            </w:r>
            <w:r w:rsidR="00F63A2F">
              <w:rPr>
                <w:sz w:val="22"/>
                <w:szCs w:val="22"/>
                <w:lang w:val="en-AU"/>
              </w:rPr>
              <w:t>hreshold</w:t>
            </w:r>
            <w:r w:rsidR="006E5D16">
              <w:rPr>
                <w:sz w:val="22"/>
                <w:szCs w:val="22"/>
                <w:lang w:val="en-AU"/>
              </w:rPr>
              <w:t>s</w:t>
            </w:r>
            <w:r w:rsidR="00F63A2F">
              <w:rPr>
                <w:sz w:val="22"/>
                <w:szCs w:val="22"/>
                <w:lang w:val="en-AU"/>
              </w:rPr>
              <w:t xml:space="preserve"> </w:t>
            </w:r>
            <w:r w:rsidR="00A35B11">
              <w:rPr>
                <w:sz w:val="22"/>
                <w:szCs w:val="22"/>
                <w:lang w:val="en-AU"/>
              </w:rPr>
              <w:t>for</w:t>
            </w:r>
            <w:r w:rsidR="00F63A2F">
              <w:rPr>
                <w:sz w:val="22"/>
                <w:szCs w:val="22"/>
                <w:lang w:val="en-AU"/>
              </w:rPr>
              <w:t xml:space="preserve"> healthy children </w:t>
            </w:r>
            <w:r w:rsidR="006E5D16">
              <w:rPr>
                <w:sz w:val="22"/>
                <w:szCs w:val="22"/>
                <w:lang w:val="en-AU"/>
              </w:rPr>
              <w:t>are</w:t>
            </w:r>
            <w:r w:rsidR="00F63A2F">
              <w:rPr>
                <w:sz w:val="22"/>
                <w:szCs w:val="22"/>
                <w:lang w:val="en-AU"/>
              </w:rPr>
              <w:t xml:space="preserve"> </w:t>
            </w:r>
            <w:r w:rsidR="00380F1F">
              <w:rPr>
                <w:sz w:val="22"/>
                <w:szCs w:val="22"/>
                <w:lang w:val="en-AU"/>
              </w:rPr>
              <w:t>summarised</w:t>
            </w:r>
            <w:r w:rsidR="00F63A2F">
              <w:rPr>
                <w:sz w:val="22"/>
                <w:szCs w:val="22"/>
                <w:lang w:val="en-AU"/>
              </w:rPr>
              <w:t xml:space="preserve"> in </w:t>
            </w:r>
            <w:r w:rsidR="00E562A6" w:rsidRPr="00775C3F">
              <w:rPr>
                <w:sz w:val="22"/>
                <w:szCs w:val="22"/>
                <w:lang w:val="en-AU"/>
              </w:rPr>
              <w:t>Table 1</w:t>
            </w:r>
            <w:r w:rsidR="001E62B2" w:rsidRPr="00775C3F">
              <w:rPr>
                <w:sz w:val="22"/>
                <w:szCs w:val="22"/>
                <w:lang w:val="en-AU"/>
              </w:rPr>
              <w:t>.</w:t>
            </w:r>
          </w:p>
          <w:p w14:paraId="2B354C45" w14:textId="2EB01939" w:rsidR="006E5D16" w:rsidRDefault="006E5D16" w:rsidP="003E37CA">
            <w:pPr>
              <w:pStyle w:val="Pa12"/>
              <w:rPr>
                <w:rStyle w:val="A4"/>
              </w:rPr>
            </w:pPr>
          </w:p>
          <w:p w14:paraId="370FB6AC" w14:textId="50FA3E4F" w:rsidR="00E90B69" w:rsidRPr="00775C3F" w:rsidRDefault="00F63A2F" w:rsidP="003E37CA">
            <w:pPr>
              <w:pStyle w:val="Pa12"/>
              <w:rPr>
                <w:rStyle w:val="A4"/>
              </w:rPr>
            </w:pPr>
            <w:r>
              <w:rPr>
                <w:rStyle w:val="A4"/>
              </w:rPr>
              <w:t xml:space="preserve">Table 1. Coefficient of variation (CV), relative BDR, and </w:t>
            </w:r>
            <w:r w:rsidR="006E5D16">
              <w:rPr>
                <w:rStyle w:val="A4"/>
              </w:rPr>
              <w:t>absolute BDR thresholds</w:t>
            </w:r>
          </w:p>
          <w:tbl>
            <w:tblPr>
              <w:tblStyle w:val="TableGrid"/>
              <w:tblW w:w="81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4"/>
              <w:gridCol w:w="1417"/>
              <w:gridCol w:w="1418"/>
              <w:gridCol w:w="1369"/>
              <w:gridCol w:w="1418"/>
            </w:tblGrid>
            <w:tr w:rsidR="00374D00" w:rsidRPr="00775C3F" w14:paraId="31EEAFE6" w14:textId="77777777" w:rsidTr="00F63A2F">
              <w:tc>
                <w:tcPr>
                  <w:tcW w:w="257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35460CE" w14:textId="77777777" w:rsidR="00374D00" w:rsidRPr="00775C3F" w:rsidRDefault="00374D00" w:rsidP="00206A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127142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ReE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98FFA8C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ReI</w:t>
                  </w:r>
                </w:p>
              </w:tc>
              <w:tc>
                <w:tcPr>
                  <w:tcW w:w="1369" w:type="dxa"/>
                  <w:tcBorders>
                    <w:bottom w:val="single" w:sz="4" w:space="0" w:color="auto"/>
                  </w:tcBorders>
                </w:tcPr>
                <w:p w14:paraId="5C9B9453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XeE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7960AD8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XeI</w:t>
                  </w:r>
                </w:p>
              </w:tc>
            </w:tr>
            <w:tr w:rsidR="00374D00" w:rsidRPr="00775C3F" w14:paraId="3CB0D425" w14:textId="77777777" w:rsidTr="00F63A2F">
              <w:trPr>
                <w:trHeight w:val="637"/>
              </w:trPr>
              <w:tc>
                <w:tcPr>
                  <w:tcW w:w="257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CDEC90C" w14:textId="05CC04DE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PreBD CV (</w:t>
                  </w:r>
                  <w:r w:rsidR="002B666C" w:rsidRPr="00775C3F">
                    <w:rPr>
                      <w:rFonts w:ascii="Arial" w:hAnsi="Arial" w:cs="Arial"/>
                      <w:sz w:val="22"/>
                      <w:szCs w:val="22"/>
                    </w:rPr>
                    <w:t>%)</w:t>
                  </w:r>
                  <w:r w:rsidR="002B666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B666C" w:rsidRPr="00775C3F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9D39790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 xml:space="preserve">14.6 </w:t>
                  </w:r>
                </w:p>
                <w:p w14:paraId="456A7715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(11.9, 19.0)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20673F91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 xml:space="preserve">15.9 </w:t>
                  </w:r>
                </w:p>
                <w:p w14:paraId="33FE5679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(12.9, 19.2)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</w:tcBorders>
                </w:tcPr>
                <w:p w14:paraId="4F0C6DBB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 xml:space="preserve">59.6 </w:t>
                  </w:r>
                </w:p>
                <w:p w14:paraId="2ADA87C3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(43.9, 81.6)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1C96FBBD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 xml:space="preserve">47.0 </w:t>
                  </w:r>
                </w:p>
                <w:p w14:paraId="67444877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(36.6, 60.8)</w:t>
                  </w:r>
                </w:p>
              </w:tc>
            </w:tr>
            <w:tr w:rsidR="00374D00" w:rsidRPr="00775C3F" w14:paraId="099502C8" w14:textId="77777777" w:rsidTr="00F63A2F">
              <w:trPr>
                <w:trHeight w:val="305"/>
              </w:trPr>
              <w:tc>
                <w:tcPr>
                  <w:tcW w:w="2574" w:type="dxa"/>
                  <w:tcBorders>
                    <w:right w:val="single" w:sz="4" w:space="0" w:color="auto"/>
                  </w:tcBorders>
                </w:tcPr>
                <w:p w14:paraId="66C77198" w14:textId="76B4E4E8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Relative BDR</w:t>
                  </w:r>
                  <w:r w:rsidR="002B666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75C3F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†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14:paraId="0C5DD27A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-34.6%</w:t>
                  </w:r>
                </w:p>
              </w:tc>
              <w:tc>
                <w:tcPr>
                  <w:tcW w:w="1418" w:type="dxa"/>
                </w:tcPr>
                <w:p w14:paraId="06604846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-34.0%</w:t>
                  </w:r>
                </w:p>
              </w:tc>
              <w:tc>
                <w:tcPr>
                  <w:tcW w:w="1369" w:type="dxa"/>
                </w:tcPr>
                <w:p w14:paraId="313A9C70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n/a</w:t>
                  </w:r>
                </w:p>
              </w:tc>
              <w:tc>
                <w:tcPr>
                  <w:tcW w:w="1418" w:type="dxa"/>
                </w:tcPr>
                <w:p w14:paraId="30904F47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n/a</w:t>
                  </w:r>
                </w:p>
              </w:tc>
            </w:tr>
            <w:tr w:rsidR="00374D00" w:rsidRPr="00775C3F" w14:paraId="39C76F09" w14:textId="77777777" w:rsidTr="00F63A2F">
              <w:tc>
                <w:tcPr>
                  <w:tcW w:w="2574" w:type="dxa"/>
                  <w:tcBorders>
                    <w:right w:val="single" w:sz="4" w:space="0" w:color="auto"/>
                  </w:tcBorders>
                </w:tcPr>
                <w:p w14:paraId="5465259A" w14:textId="6A3E4DAC" w:rsidR="00374D00" w:rsidRPr="00775C3F" w:rsidRDefault="006E5D16" w:rsidP="006E5D1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Placebo testing threshold </w:t>
                  </w:r>
                  <w:r w:rsidR="00374D00" w:rsidRPr="00775C3F">
                    <w:rPr>
                      <w:rFonts w:ascii="Arial" w:hAnsi="Arial" w:cs="Arial"/>
                      <w:sz w:val="22"/>
                      <w:szCs w:val="22"/>
                    </w:rPr>
                    <w:t>(hPa∙s∙L</w:t>
                  </w:r>
                  <w:r w:rsidR="00374D00" w:rsidRPr="00775C3F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-1</w:t>
                  </w:r>
                  <w:r w:rsidR="00374D00" w:rsidRPr="00775C3F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2B666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74D00" w:rsidRPr="00775C3F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‡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14:paraId="4760690D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-1.25</w:t>
                  </w:r>
                </w:p>
              </w:tc>
              <w:tc>
                <w:tcPr>
                  <w:tcW w:w="1418" w:type="dxa"/>
                </w:tcPr>
                <w:p w14:paraId="58AAE4F9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-0.89</w:t>
                  </w:r>
                </w:p>
              </w:tc>
              <w:tc>
                <w:tcPr>
                  <w:tcW w:w="1369" w:type="dxa"/>
                </w:tcPr>
                <w:p w14:paraId="549E094E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+0.92</w:t>
                  </w:r>
                </w:p>
              </w:tc>
              <w:tc>
                <w:tcPr>
                  <w:tcW w:w="1418" w:type="dxa"/>
                </w:tcPr>
                <w:p w14:paraId="4DD7D159" w14:textId="77777777" w:rsidR="00374D00" w:rsidRPr="00775C3F" w:rsidRDefault="00374D00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+0.63</w:t>
                  </w:r>
                </w:p>
              </w:tc>
            </w:tr>
            <w:tr w:rsidR="006E5D16" w:rsidRPr="00775C3F" w14:paraId="14F1CB3C" w14:textId="77777777" w:rsidTr="00F63A2F">
              <w:tc>
                <w:tcPr>
                  <w:tcW w:w="2574" w:type="dxa"/>
                  <w:tcBorders>
                    <w:right w:val="single" w:sz="4" w:space="0" w:color="auto"/>
                  </w:tcBorders>
                </w:tcPr>
                <w:p w14:paraId="7FEF3138" w14:textId="3FEF4891" w:rsidR="006E5D16" w:rsidRDefault="006E5D16" w:rsidP="006E5D1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Bronchodilator testing threshold </w:t>
                  </w: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(hPa∙s∙L</w:t>
                  </w:r>
                  <w:r w:rsidRPr="00775C3F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-1</w:t>
                  </w:r>
                  <w:r w:rsidRPr="00775C3F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75C3F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‡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14:paraId="1640258F" w14:textId="59F3A91A" w:rsidR="006E5D16" w:rsidRPr="00775C3F" w:rsidRDefault="006E5D16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-3.88</w:t>
                  </w:r>
                </w:p>
              </w:tc>
              <w:tc>
                <w:tcPr>
                  <w:tcW w:w="1418" w:type="dxa"/>
                </w:tcPr>
                <w:p w14:paraId="35EDAE4D" w14:textId="7547EC13" w:rsidR="006E5D16" w:rsidRPr="00775C3F" w:rsidRDefault="006E5D16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-3.41</w:t>
                  </w:r>
                </w:p>
              </w:tc>
              <w:tc>
                <w:tcPr>
                  <w:tcW w:w="1369" w:type="dxa"/>
                </w:tcPr>
                <w:p w14:paraId="7A448128" w14:textId="3A15B167" w:rsidR="006E5D16" w:rsidRPr="00775C3F" w:rsidRDefault="006E5D16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+1.20</w:t>
                  </w:r>
                </w:p>
              </w:tc>
              <w:tc>
                <w:tcPr>
                  <w:tcW w:w="1418" w:type="dxa"/>
                </w:tcPr>
                <w:p w14:paraId="311BDCC9" w14:textId="7BC35C82" w:rsidR="006E5D16" w:rsidRPr="00775C3F" w:rsidRDefault="006E5D16" w:rsidP="00206A1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+1.31</w:t>
                  </w:r>
                </w:p>
              </w:tc>
            </w:tr>
          </w:tbl>
          <w:p w14:paraId="2E5636F4" w14:textId="6F3EBCF3" w:rsidR="006E5D16" w:rsidRPr="00AA5CF2" w:rsidRDefault="00206A18" w:rsidP="0083758D">
            <w:pPr>
              <w:rPr>
                <w:rStyle w:val="A4"/>
                <w:i/>
                <w:iCs/>
                <w:sz w:val="20"/>
                <w:szCs w:val="20"/>
                <w:lang w:val="en-NZ"/>
              </w:rPr>
            </w:pPr>
            <w:r w:rsidRPr="00AA5C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 Median (quartile-1, quartile-3); </w:t>
            </w:r>
            <w:r w:rsidRPr="00AA5CF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† </w:t>
            </w:r>
            <w:r w:rsidRPr="00AA5CF2">
              <w:rPr>
                <w:rFonts w:ascii="Arial" w:hAnsi="Arial" w:cs="Arial"/>
                <w:i/>
                <w:iCs/>
                <w:sz w:val="20"/>
                <w:szCs w:val="20"/>
              </w:rPr>
              <w:t>using the &lt;5</w:t>
            </w:r>
            <w:r w:rsidRPr="00AA5CF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th</w:t>
            </w:r>
            <w:r w:rsidRPr="00AA5C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percentile;</w:t>
            </w:r>
            <w:r w:rsidRPr="00AA5CF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 xml:space="preserve"> </w:t>
            </w:r>
            <w:r w:rsidRPr="00AA5CF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‡ </w:t>
            </w:r>
            <w:r w:rsidR="00D36C98" w:rsidRPr="00AA5CF2">
              <w:rPr>
                <w:rFonts w:ascii="Arial" w:hAnsi="Arial" w:cs="Arial"/>
                <w:i/>
                <w:iCs/>
                <w:sz w:val="20"/>
                <w:szCs w:val="20"/>
              </w:rPr>
              <w:t>threshold based on</w:t>
            </w:r>
            <w:r w:rsidRPr="00AA5C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36C98" w:rsidRPr="00AA5CF2">
              <w:rPr>
                <w:rFonts w:ascii="Arial" w:hAnsi="Arial" w:cs="Arial"/>
                <w:i/>
                <w:iCs/>
                <w:sz w:val="20"/>
                <w:szCs w:val="20"/>
              </w:rPr>
              <w:t>BA-</w:t>
            </w:r>
            <w:proofErr w:type="spellStart"/>
            <w:r w:rsidR="00D36C98" w:rsidRPr="00AA5CF2">
              <w:rPr>
                <w:rFonts w:ascii="Arial" w:hAnsi="Arial" w:cs="Arial"/>
                <w:i/>
                <w:iCs/>
                <w:sz w:val="20"/>
                <w:szCs w:val="20"/>
              </w:rPr>
              <w:t>LoA</w:t>
            </w:r>
            <w:proofErr w:type="spellEnd"/>
            <w:r w:rsidRPr="00AA5CF2">
              <w:rPr>
                <w:rFonts w:ascii="Arial" w:hAnsi="Arial" w:cs="Arial"/>
                <w:i/>
                <w:iCs/>
                <w:sz w:val="20"/>
                <w:szCs w:val="20"/>
              </w:rPr>
              <w:t>; n/a, not applicable</w:t>
            </w:r>
            <w:r w:rsidR="002533E6" w:rsidRPr="00AA5C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 preBD</w:t>
            </w:r>
            <w:r w:rsidR="0083758D" w:rsidRPr="00AA5C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values </w:t>
            </w:r>
            <w:r w:rsidR="00C83ACF" w:rsidRPr="00AA5C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were </w:t>
            </w:r>
            <w:r w:rsidR="0083758D" w:rsidRPr="00AA5CF2">
              <w:rPr>
                <w:rFonts w:ascii="Arial" w:hAnsi="Arial" w:cs="Arial"/>
                <w:i/>
                <w:iCs/>
                <w:sz w:val="20"/>
                <w:szCs w:val="20"/>
              </w:rPr>
              <w:t>near zero</w:t>
            </w:r>
            <w:r w:rsidRPr="00AA5CF2">
              <w:rPr>
                <w:rFonts w:ascii="Arial" w:hAnsi="Arial" w:cs="Arial"/>
                <w:i/>
                <w:iCs/>
                <w:sz w:val="20"/>
                <w:szCs w:val="20"/>
              </w:rPr>
              <w:t>; preBD, pre-bronchodilator measurement.</w:t>
            </w:r>
          </w:p>
          <w:p w14:paraId="3E6252B6" w14:textId="77777777" w:rsidR="0083758D" w:rsidRDefault="0083758D" w:rsidP="002210EC">
            <w:pPr>
              <w:pStyle w:val="Default"/>
              <w:rPr>
                <w:rStyle w:val="A4"/>
                <w:b/>
                <w:bCs/>
              </w:rPr>
            </w:pPr>
          </w:p>
          <w:p w14:paraId="20D459F5" w14:textId="5BF4ABA8" w:rsidR="00164405" w:rsidRPr="00775C3F" w:rsidRDefault="001564A4" w:rsidP="002210EC">
            <w:pPr>
              <w:pStyle w:val="Default"/>
              <w:rPr>
                <w:sz w:val="22"/>
                <w:szCs w:val="22"/>
                <w:lang w:val="en-AU"/>
              </w:rPr>
            </w:pPr>
            <w:r w:rsidRPr="00775C3F">
              <w:rPr>
                <w:rStyle w:val="A4"/>
                <w:b/>
                <w:bCs/>
              </w:rPr>
              <w:t xml:space="preserve">Conclusion: </w:t>
            </w:r>
            <w:r w:rsidR="00775C3F" w:rsidRPr="00775C3F">
              <w:rPr>
                <w:rStyle w:val="A4"/>
              </w:rPr>
              <w:t>Based on our data,</w:t>
            </w:r>
            <w:r w:rsidR="001B292E">
              <w:rPr>
                <w:rStyle w:val="A4"/>
              </w:rPr>
              <w:t xml:space="preserve"> </w:t>
            </w:r>
            <w:r w:rsidR="00033437">
              <w:rPr>
                <w:rStyle w:val="A4"/>
              </w:rPr>
              <w:t xml:space="preserve">reporting </w:t>
            </w:r>
            <w:r w:rsidR="001B292E">
              <w:rPr>
                <w:rStyle w:val="A4"/>
              </w:rPr>
              <w:t xml:space="preserve">a relative BDR is more appropriate, with </w:t>
            </w:r>
            <w:r w:rsidR="00775C3F" w:rsidRPr="00775C3F">
              <w:rPr>
                <w:rStyle w:val="A4"/>
              </w:rPr>
              <w:t xml:space="preserve">a positive BDR </w:t>
            </w:r>
            <w:r w:rsidR="001B292E">
              <w:rPr>
                <w:rStyle w:val="A4"/>
              </w:rPr>
              <w:t>being</w:t>
            </w:r>
            <w:r w:rsidR="00775C3F" w:rsidRPr="00775C3F">
              <w:rPr>
                <w:rStyle w:val="A4"/>
              </w:rPr>
              <w:t xml:space="preserve"> -35% for </w:t>
            </w:r>
            <w:r w:rsidR="001B292E">
              <w:rPr>
                <w:rStyle w:val="A4"/>
              </w:rPr>
              <w:t>either</w:t>
            </w:r>
            <w:r w:rsidR="00775C3F" w:rsidRPr="00775C3F">
              <w:rPr>
                <w:rStyle w:val="A4"/>
              </w:rPr>
              <w:t xml:space="preserve"> ReE </w:t>
            </w:r>
            <w:r w:rsidR="001B292E">
              <w:rPr>
                <w:rStyle w:val="A4"/>
              </w:rPr>
              <w:t>or</w:t>
            </w:r>
            <w:r w:rsidR="00775C3F" w:rsidRPr="00775C3F">
              <w:rPr>
                <w:rStyle w:val="A4"/>
              </w:rPr>
              <w:t xml:space="preserve"> ReI. A</w:t>
            </w:r>
            <w:r w:rsidR="00964633" w:rsidRPr="00775C3F">
              <w:rPr>
                <w:rStyle w:val="A4"/>
              </w:rPr>
              <w:t xml:space="preserve"> relative BDR was not useful for </w:t>
            </w:r>
            <w:r w:rsidR="00964633" w:rsidRPr="00775C3F">
              <w:rPr>
                <w:sz w:val="22"/>
                <w:szCs w:val="22"/>
                <w:lang w:val="en-AU"/>
              </w:rPr>
              <w:t>XeE</w:t>
            </w:r>
            <w:r w:rsidR="00135C85">
              <w:rPr>
                <w:sz w:val="22"/>
                <w:szCs w:val="22"/>
                <w:lang w:val="en-AU"/>
              </w:rPr>
              <w:t xml:space="preserve"> or </w:t>
            </w:r>
            <w:r w:rsidR="00964633" w:rsidRPr="00775C3F">
              <w:rPr>
                <w:sz w:val="22"/>
                <w:szCs w:val="22"/>
                <w:lang w:val="en-AU"/>
              </w:rPr>
              <w:t xml:space="preserve">XeI, as the </w:t>
            </w:r>
            <w:r w:rsidR="001B292E">
              <w:rPr>
                <w:sz w:val="22"/>
                <w:szCs w:val="22"/>
                <w:lang w:val="en-AU"/>
              </w:rPr>
              <w:t xml:space="preserve">pre-bronchodilator </w:t>
            </w:r>
            <w:r w:rsidR="00964633" w:rsidRPr="00775C3F">
              <w:rPr>
                <w:sz w:val="22"/>
                <w:szCs w:val="22"/>
                <w:lang w:val="en-AU"/>
              </w:rPr>
              <w:t xml:space="preserve">values were close to zero </w:t>
            </w:r>
            <w:r w:rsidR="00C22F72" w:rsidRPr="00775C3F">
              <w:rPr>
                <w:sz w:val="22"/>
                <w:szCs w:val="22"/>
                <w:lang w:val="en-AU"/>
              </w:rPr>
              <w:t>in health</w:t>
            </w:r>
            <w:r w:rsidR="00552712" w:rsidRPr="00775C3F">
              <w:rPr>
                <w:sz w:val="22"/>
                <w:szCs w:val="22"/>
                <w:lang w:val="en-AU"/>
              </w:rPr>
              <w:t>y children.</w:t>
            </w:r>
            <w:r w:rsidR="009A117A" w:rsidRPr="00775C3F">
              <w:rPr>
                <w:sz w:val="22"/>
                <w:szCs w:val="22"/>
                <w:lang w:val="en-AU"/>
              </w:rPr>
              <w:t xml:space="preserve"> The clinical utility of</w:t>
            </w:r>
            <w:r w:rsidR="00811437">
              <w:rPr>
                <w:sz w:val="22"/>
                <w:szCs w:val="22"/>
                <w:lang w:val="en-AU"/>
              </w:rPr>
              <w:t xml:space="preserve"> IB-OSC</w:t>
            </w:r>
            <w:r w:rsidR="009A117A" w:rsidRPr="00775C3F">
              <w:rPr>
                <w:sz w:val="22"/>
                <w:szCs w:val="22"/>
                <w:lang w:val="en-AU"/>
              </w:rPr>
              <w:t xml:space="preserve"> BDR will be explored in future work.</w:t>
            </w:r>
          </w:p>
          <w:p w14:paraId="1FF1A88F" w14:textId="2A924C49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 w:rsidRPr="00775C3F">
              <w:rPr>
                <w:rStyle w:val="A4"/>
                <w:b/>
                <w:bCs/>
              </w:rPr>
              <w:t>Grant Support:</w:t>
            </w:r>
            <w:r w:rsidR="009A117A" w:rsidRPr="00775C3F">
              <w:rPr>
                <w:noProof/>
                <w:sz w:val="22"/>
                <w:szCs w:val="22"/>
                <w:lang w:val="en-AU"/>
              </w:rPr>
              <w:t xml:space="preserve"> </w:t>
            </w:r>
            <w:r w:rsidR="00517A72" w:rsidRPr="00775C3F">
              <w:rPr>
                <w:rStyle w:val="A4"/>
              </w:rPr>
              <w:t>Thrasher Research Fund; Queensland Health Innovation, Investment and Research Office; The University of Queensland Faculty of Medicine.</w:t>
            </w:r>
            <w:r>
              <w:rPr>
                <w:rStyle w:val="A4"/>
                <w:bCs/>
              </w:rPr>
              <w:br/>
            </w:r>
            <w:r w:rsidR="00C2373A" w:rsidRPr="009C3126">
              <w:rPr>
                <w:rStyle w:val="A4"/>
                <w:b/>
              </w:rPr>
              <w:t>Key Words:</w:t>
            </w:r>
            <w:r w:rsidR="00C2373A">
              <w:rPr>
                <w:rStyle w:val="A4"/>
                <w:bCs/>
              </w:rPr>
              <w:t xml:space="preserve"> </w:t>
            </w:r>
            <w:r w:rsidR="00802783">
              <w:rPr>
                <w:rStyle w:val="A4"/>
                <w:bCs/>
              </w:rPr>
              <w:t>bronchodilator response, children, intra-breath, oscillometry</w:t>
            </w:r>
            <w:r w:rsidR="00E10CDE">
              <w:rPr>
                <w:rStyle w:val="A4"/>
                <w:bCs/>
              </w:rPr>
              <w:t>, preschool</w:t>
            </w:r>
            <w:r w:rsidR="009C3126">
              <w:rPr>
                <w:rStyle w:val="A4"/>
                <w:bCs/>
              </w:rPr>
              <w:t>.</w:t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B292E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3437"/>
    <w:rsid w:val="00051CFE"/>
    <w:rsid w:val="000C4914"/>
    <w:rsid w:val="000C7034"/>
    <w:rsid w:val="000C76A9"/>
    <w:rsid w:val="00104DE5"/>
    <w:rsid w:val="00135C85"/>
    <w:rsid w:val="0014267A"/>
    <w:rsid w:val="001564A4"/>
    <w:rsid w:val="00161D86"/>
    <w:rsid w:val="00164405"/>
    <w:rsid w:val="0017555E"/>
    <w:rsid w:val="00182DF8"/>
    <w:rsid w:val="0019719F"/>
    <w:rsid w:val="001B292E"/>
    <w:rsid w:val="001C011B"/>
    <w:rsid w:val="001D668B"/>
    <w:rsid w:val="001E62B2"/>
    <w:rsid w:val="00206A18"/>
    <w:rsid w:val="00220A70"/>
    <w:rsid w:val="002210EC"/>
    <w:rsid w:val="00225518"/>
    <w:rsid w:val="00233157"/>
    <w:rsid w:val="002533E6"/>
    <w:rsid w:val="0026009A"/>
    <w:rsid w:val="00271773"/>
    <w:rsid w:val="002816B3"/>
    <w:rsid w:val="002A0237"/>
    <w:rsid w:val="002B666C"/>
    <w:rsid w:val="002E3587"/>
    <w:rsid w:val="00316979"/>
    <w:rsid w:val="003304C4"/>
    <w:rsid w:val="00333E6F"/>
    <w:rsid w:val="0034318E"/>
    <w:rsid w:val="003723C1"/>
    <w:rsid w:val="003742C6"/>
    <w:rsid w:val="00374D00"/>
    <w:rsid w:val="00380F1F"/>
    <w:rsid w:val="003826FF"/>
    <w:rsid w:val="00391048"/>
    <w:rsid w:val="003E37CA"/>
    <w:rsid w:val="003F32A7"/>
    <w:rsid w:val="004B23CE"/>
    <w:rsid w:val="004F5F6E"/>
    <w:rsid w:val="00502172"/>
    <w:rsid w:val="00502CEB"/>
    <w:rsid w:val="00515262"/>
    <w:rsid w:val="0051574E"/>
    <w:rsid w:val="00517A72"/>
    <w:rsid w:val="00545FC8"/>
    <w:rsid w:val="00552712"/>
    <w:rsid w:val="00574B32"/>
    <w:rsid w:val="00585903"/>
    <w:rsid w:val="00596F19"/>
    <w:rsid w:val="00652153"/>
    <w:rsid w:val="00661743"/>
    <w:rsid w:val="00670263"/>
    <w:rsid w:val="00676428"/>
    <w:rsid w:val="006C5D7F"/>
    <w:rsid w:val="006E5D16"/>
    <w:rsid w:val="006F71B7"/>
    <w:rsid w:val="0070003A"/>
    <w:rsid w:val="007119E1"/>
    <w:rsid w:val="00714A32"/>
    <w:rsid w:val="007338A4"/>
    <w:rsid w:val="00751BF6"/>
    <w:rsid w:val="007729B3"/>
    <w:rsid w:val="00775C3F"/>
    <w:rsid w:val="007A3DF9"/>
    <w:rsid w:val="00802783"/>
    <w:rsid w:val="00807119"/>
    <w:rsid w:val="00811437"/>
    <w:rsid w:val="0083758D"/>
    <w:rsid w:val="008672DB"/>
    <w:rsid w:val="00871FBC"/>
    <w:rsid w:val="0087395D"/>
    <w:rsid w:val="008803FA"/>
    <w:rsid w:val="008910B6"/>
    <w:rsid w:val="008A3D05"/>
    <w:rsid w:val="008C565C"/>
    <w:rsid w:val="008E242A"/>
    <w:rsid w:val="008F58C9"/>
    <w:rsid w:val="00921A40"/>
    <w:rsid w:val="00964633"/>
    <w:rsid w:val="00980569"/>
    <w:rsid w:val="00983668"/>
    <w:rsid w:val="0098576E"/>
    <w:rsid w:val="00992F98"/>
    <w:rsid w:val="009A117A"/>
    <w:rsid w:val="009C3126"/>
    <w:rsid w:val="009C6C2B"/>
    <w:rsid w:val="00A04802"/>
    <w:rsid w:val="00A10094"/>
    <w:rsid w:val="00A1220E"/>
    <w:rsid w:val="00A21AB7"/>
    <w:rsid w:val="00A21C03"/>
    <w:rsid w:val="00A263F8"/>
    <w:rsid w:val="00A35B11"/>
    <w:rsid w:val="00AA5CF2"/>
    <w:rsid w:val="00AA792D"/>
    <w:rsid w:val="00B03F66"/>
    <w:rsid w:val="00B0461D"/>
    <w:rsid w:val="00B06DEE"/>
    <w:rsid w:val="00B128D7"/>
    <w:rsid w:val="00B12E32"/>
    <w:rsid w:val="00B178A7"/>
    <w:rsid w:val="00B222F7"/>
    <w:rsid w:val="00B8088F"/>
    <w:rsid w:val="00BA507F"/>
    <w:rsid w:val="00BC57F8"/>
    <w:rsid w:val="00BE3A5F"/>
    <w:rsid w:val="00C017BC"/>
    <w:rsid w:val="00C216A3"/>
    <w:rsid w:val="00C22F72"/>
    <w:rsid w:val="00C2373A"/>
    <w:rsid w:val="00C37F97"/>
    <w:rsid w:val="00C60D2C"/>
    <w:rsid w:val="00C83ACF"/>
    <w:rsid w:val="00CF18F0"/>
    <w:rsid w:val="00D02068"/>
    <w:rsid w:val="00D35E46"/>
    <w:rsid w:val="00D36C98"/>
    <w:rsid w:val="00D66213"/>
    <w:rsid w:val="00DE1477"/>
    <w:rsid w:val="00DE64DC"/>
    <w:rsid w:val="00DF163B"/>
    <w:rsid w:val="00E0700F"/>
    <w:rsid w:val="00E10CDE"/>
    <w:rsid w:val="00E409E7"/>
    <w:rsid w:val="00E50498"/>
    <w:rsid w:val="00E562A6"/>
    <w:rsid w:val="00E90B69"/>
    <w:rsid w:val="00EC7953"/>
    <w:rsid w:val="00EC7C95"/>
    <w:rsid w:val="00F56520"/>
    <w:rsid w:val="00F63A2F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D35E4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5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E46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E46"/>
    <w:rPr>
      <w:rFonts w:ascii="Times New Roman" w:eastAsia="Times New Roman" w:hAnsi="Times New Roman" w:cs="Times New Roman"/>
      <w:b/>
      <w:bCs/>
      <w:lang w:val="en-GB"/>
    </w:rPr>
  </w:style>
  <w:style w:type="table" w:styleId="TableGrid">
    <w:name w:val="Table Grid"/>
    <w:basedOn w:val="TableNormal"/>
    <w:uiPriority w:val="39"/>
    <w:rsid w:val="00E90B69"/>
    <w:rPr>
      <w:rFonts w:asciiTheme="minorHAnsi" w:hAnsiTheme="minorHAnsi"/>
      <w:kern w:val="2"/>
      <w:sz w:val="22"/>
      <w:szCs w:val="2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2718</Characters>
  <Application>Microsoft Office Word</Application>
  <DocSecurity>0</DocSecurity>
  <Lines>119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Matthew Wong</cp:lastModifiedBy>
  <cp:revision>3</cp:revision>
  <dcterms:created xsi:type="dcterms:W3CDTF">2023-10-17T11:41:00Z</dcterms:created>
  <dcterms:modified xsi:type="dcterms:W3CDTF">2023-10-17T11:42:00Z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2023-09-29T04:09:54Z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88f38dcc-e595-4af9-a5d0-f46bd510271a</vt:lpwstr>
  </property>
  <property fmtid="{D5CDD505-2E9C-101B-9397-08002B2CF9AE}" pid="10" name="MSIP_Label_0f488380-630a-4f55-a077-a19445e3f360_ContentBits">
    <vt:lpwstr>0</vt:lpwstr>
  </property>
  <property fmtid="{D5CDD505-2E9C-101B-9397-08002B2CF9AE}" pid="11" name="GrammarlyDocumentId">
    <vt:lpwstr>94f08067b8f2fb645b6b94eac37eb927c981e1242e98bf727505e3eb8dc180d0</vt:lpwstr>
  </property>
</Properties>
</file>