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0F4A1E7" w:rsidR="001564A4" w:rsidRPr="004A1EC2" w:rsidRDefault="004A1EC2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4A1EC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Lung clearance index predicts disease progression in children with cystic fibrosis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4A02B6AA" w:rsidR="001564A4" w:rsidRPr="00413B94" w:rsidRDefault="004A1EC2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Harper A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, , Karpievitch Y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, Smith E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, Rosenow T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, Eifler N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, Grdosic J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, Langford R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, Pettigrew G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, McCappin S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, Clarke N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, Sandhu H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, Stick S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1,2, 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Ranganathan S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EA7DBD"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Hall G </w:t>
            </w:r>
            <w:r w:rsidR="00EA7DBD"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EA7DBD" w:rsidRPr="006B44E6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4A1EC2">
              <w:rPr>
                <w:rFonts w:ascii="Arial" w:hAnsi="Arial" w:cs="Arial"/>
                <w:sz w:val="22"/>
                <w:szCs w:val="22"/>
                <w:lang w:val="en-US" w:eastAsia="en-GB"/>
              </w:rPr>
              <w:t>Ramsey K</w:t>
            </w:r>
            <w:r w:rsidR="00F62E28">
              <w:rPr>
                <w:rFonts w:ascii="Arial" w:hAnsi="Arial" w:cs="Arial"/>
                <w:sz w:val="22"/>
                <w:szCs w:val="22"/>
                <w:lang w:val="en-US" w:eastAsia="en-GB"/>
              </w:rPr>
              <w:t>A</w:t>
            </w:r>
            <w:r w:rsidRPr="004A1EC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257A702D" w14:textId="4116141E" w:rsidR="004A1EC2" w:rsidRPr="00D8338D" w:rsidRDefault="004A1EC2" w:rsidP="004A1EC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8338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045E0" w:rsidRPr="00D8338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Wal-yan Respiratory Research Centre, T</w:t>
            </w:r>
            <w:r w:rsidRPr="00D8338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elethon Kids Institute, University of Western Australia, WA, Australia </w:t>
            </w:r>
          </w:p>
          <w:p w14:paraId="4EA71B12" w14:textId="7BC65109" w:rsidR="00D8338D" w:rsidRPr="00D8338D" w:rsidRDefault="00D8338D" w:rsidP="00D8338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8338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D8338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Perth Children’s Hospital, Perth, Western Australia</w:t>
            </w:r>
          </w:p>
          <w:p w14:paraId="45ED36BF" w14:textId="3A329B04" w:rsidR="001564A4" w:rsidRPr="0050053A" w:rsidRDefault="004A1EC2" w:rsidP="004A1EC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8338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D8338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Murdoch Children’s Research Institute, Victoria, Australia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68B6820B" w14:textId="4365382D" w:rsidR="004A1EC2" w:rsidRPr="00F755CC" w:rsidRDefault="001564A4" w:rsidP="00FF2B21">
            <w:pPr>
              <w:pStyle w:val="Pa12"/>
              <w:rPr>
                <w:rStyle w:val="A4"/>
                <w:rFonts w:asciiTheme="minorHAnsi" w:hAnsiTheme="minorHAnsi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69649C">
              <w:rPr>
                <w:rStyle w:val="A4"/>
              </w:rPr>
              <w:t>The l</w:t>
            </w:r>
            <w:r w:rsidR="004A1EC2" w:rsidRPr="004A1EC2">
              <w:rPr>
                <w:rStyle w:val="A4"/>
              </w:rPr>
              <w:t xml:space="preserve">ung clearance index (LCI) from the multiple breath washout (MBW) test is a sensitive marker of cystic fibrosis (CF) lung disease. There are limited data on whether LCI is predictive of future lung disease in children with CF. </w:t>
            </w:r>
            <w:r w:rsidR="00F62E28">
              <w:rPr>
                <w:rStyle w:val="A4"/>
              </w:rPr>
              <w:t>We</w:t>
            </w:r>
            <w:r w:rsidR="004A1EC2" w:rsidRPr="004A1EC2">
              <w:rPr>
                <w:rStyle w:val="A4"/>
              </w:rPr>
              <w:t xml:space="preserve"> determine</w:t>
            </w:r>
            <w:r w:rsidR="00F62E28">
              <w:rPr>
                <w:rStyle w:val="A4"/>
              </w:rPr>
              <w:t>d</w:t>
            </w:r>
            <w:r w:rsidR="004A1EC2" w:rsidRPr="004A1EC2">
              <w:rPr>
                <w:rStyle w:val="A4"/>
              </w:rPr>
              <w:t xml:space="preserve"> the </w:t>
            </w:r>
            <w:r w:rsidR="00F62E28">
              <w:rPr>
                <w:rStyle w:val="A4"/>
              </w:rPr>
              <w:t>ability of</w:t>
            </w:r>
            <w:r w:rsidR="004A1EC2" w:rsidRPr="004A1EC2">
              <w:rPr>
                <w:rStyle w:val="A4"/>
              </w:rPr>
              <w:t xml:space="preserve"> LCI </w:t>
            </w:r>
            <w:r w:rsidR="00F62E28">
              <w:rPr>
                <w:rStyle w:val="A4"/>
              </w:rPr>
              <w:t xml:space="preserve">to predict </w:t>
            </w:r>
            <w:r w:rsidR="004A1EC2" w:rsidRPr="004A1EC2">
              <w:rPr>
                <w:rStyle w:val="A4"/>
              </w:rPr>
              <w:t>lung disease severity and progression in the following 1, 2 and 3 years.</w:t>
            </w:r>
          </w:p>
          <w:p w14:paraId="3D770CF7" w14:textId="1F3168C3" w:rsidR="001564A4" w:rsidRPr="004A1EC2" w:rsidRDefault="001564A4" w:rsidP="00FF2B21">
            <w:pPr>
              <w:pStyle w:val="Pa12"/>
              <w:rPr>
                <w:rStyle w:val="A4"/>
                <w:color w:val="auto"/>
              </w:rPr>
            </w:pPr>
          </w:p>
          <w:p w14:paraId="5029BAE6" w14:textId="474FEEFD" w:rsidR="001564A4" w:rsidRDefault="001564A4" w:rsidP="00FF2B21">
            <w:pPr>
              <w:pStyle w:val="Pa12"/>
              <w:rPr>
                <w:rFonts w:asciiTheme="minorHAnsi" w:hAnsiTheme="minorHAnsi" w:cstheme="minorHAnsi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4A1EC2" w:rsidRPr="004A1EC2">
              <w:rPr>
                <w:rStyle w:val="A4"/>
              </w:rPr>
              <w:t xml:space="preserve">Data from 140 children with CF aged 3 – 9 years </w:t>
            </w:r>
            <w:r w:rsidR="00F62E28">
              <w:rPr>
                <w:rStyle w:val="A4"/>
              </w:rPr>
              <w:t xml:space="preserve">with two or more LCI measurements over a 1-year period </w:t>
            </w:r>
            <w:r w:rsidR="004A1EC2" w:rsidRPr="004A1EC2">
              <w:rPr>
                <w:rStyle w:val="A4"/>
              </w:rPr>
              <w:t xml:space="preserve">were included in the analysis. </w:t>
            </w:r>
            <w:r w:rsidR="00F62E28">
              <w:rPr>
                <w:rStyle w:val="A4"/>
              </w:rPr>
              <w:t>L</w:t>
            </w:r>
            <w:r w:rsidR="004A1EC2" w:rsidRPr="004A1EC2">
              <w:rPr>
                <w:rStyle w:val="A4"/>
              </w:rPr>
              <w:t xml:space="preserve">ung disease was assessed using spirometry, </w:t>
            </w:r>
            <w:r w:rsidR="00F62E28">
              <w:rPr>
                <w:rStyle w:val="A4"/>
              </w:rPr>
              <w:t>hospitalisations</w:t>
            </w:r>
            <w:r w:rsidR="004A1EC2" w:rsidRPr="004A1EC2">
              <w:rPr>
                <w:rStyle w:val="A4"/>
              </w:rPr>
              <w:t xml:space="preserve">, structural disease assessed by CT, </w:t>
            </w:r>
            <w:r w:rsidR="00E94408">
              <w:rPr>
                <w:rStyle w:val="A4"/>
              </w:rPr>
              <w:t xml:space="preserve">and </w:t>
            </w:r>
            <w:r w:rsidR="004A1EC2" w:rsidRPr="004A1EC2">
              <w:rPr>
                <w:rStyle w:val="A4"/>
              </w:rPr>
              <w:t>infection and inflammation from BAL or sputum. Data were analysed within a generalized linear mixed effects model framework to accommodate for repeated measurements. Best (smallest)</w:t>
            </w:r>
            <w:r w:rsidR="00F62E28">
              <w:rPr>
                <w:rStyle w:val="A4"/>
              </w:rPr>
              <w:t>,</w:t>
            </w:r>
            <w:r w:rsidR="004A1EC2" w:rsidRPr="004A1EC2">
              <w:rPr>
                <w:rStyle w:val="A4"/>
              </w:rPr>
              <w:t xml:space="preserve"> largest (worst)</w:t>
            </w:r>
            <w:r w:rsidR="00F62E28">
              <w:rPr>
                <w:rStyle w:val="A4"/>
              </w:rPr>
              <w:t>,</w:t>
            </w:r>
            <w:r w:rsidR="004A1EC2" w:rsidRPr="004A1EC2">
              <w:rPr>
                <w:rStyle w:val="A4"/>
              </w:rPr>
              <w:t xml:space="preserve"> and change in LCI within a 12 -month period was investigated as predictor variables.</w:t>
            </w:r>
          </w:p>
          <w:p w14:paraId="5C71898C" w14:textId="77777777" w:rsidR="004A1EC2" w:rsidRPr="004A1EC2" w:rsidRDefault="004A1EC2" w:rsidP="00FF2B21">
            <w:pPr>
              <w:pStyle w:val="Default"/>
            </w:pPr>
          </w:p>
          <w:p w14:paraId="6BF3F094" w14:textId="1250CB6C" w:rsidR="001564A4" w:rsidRPr="0050053A" w:rsidRDefault="001564A4" w:rsidP="00FF2B21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69649C">
              <w:rPr>
                <w:rStyle w:val="A4"/>
              </w:rPr>
              <w:t>The l</w:t>
            </w:r>
            <w:r w:rsidR="004A1EC2" w:rsidRPr="004A1EC2">
              <w:rPr>
                <w:rStyle w:val="A4"/>
              </w:rPr>
              <w:t xml:space="preserve">argest LCI </w:t>
            </w:r>
            <w:r w:rsidR="0069649C">
              <w:rPr>
                <w:rStyle w:val="A4"/>
              </w:rPr>
              <w:t xml:space="preserve">value </w:t>
            </w:r>
            <w:r w:rsidR="004A1EC2" w:rsidRPr="004A1EC2">
              <w:rPr>
                <w:rStyle w:val="A4"/>
              </w:rPr>
              <w:t xml:space="preserve">was associated with lower FEV1 z scores and </w:t>
            </w:r>
            <w:r w:rsidR="00E94408">
              <w:rPr>
                <w:rStyle w:val="A4"/>
              </w:rPr>
              <w:t>higher extent of lung</w:t>
            </w:r>
            <w:r w:rsidR="004A1EC2" w:rsidRPr="004A1EC2">
              <w:rPr>
                <w:rStyle w:val="A4"/>
              </w:rPr>
              <w:t xml:space="preserve"> disease from CT </w:t>
            </w:r>
            <w:r w:rsidR="00F62E28">
              <w:rPr>
                <w:rStyle w:val="A4"/>
              </w:rPr>
              <w:t xml:space="preserve">at </w:t>
            </w:r>
            <w:r w:rsidR="004A1EC2" w:rsidRPr="004A1EC2">
              <w:rPr>
                <w:rStyle w:val="A4"/>
              </w:rPr>
              <w:t>1 and 2 years</w:t>
            </w:r>
            <w:r w:rsidR="00F62E28">
              <w:rPr>
                <w:rStyle w:val="A4"/>
              </w:rPr>
              <w:t xml:space="preserve">, and </w:t>
            </w:r>
            <w:r w:rsidR="00E94408">
              <w:rPr>
                <w:rStyle w:val="A4"/>
              </w:rPr>
              <w:t xml:space="preserve">a greater number of </w:t>
            </w:r>
            <w:r w:rsidR="004A1EC2" w:rsidRPr="00000F73">
              <w:rPr>
                <w:rStyle w:val="A4"/>
              </w:rPr>
              <w:t>hospital admissions at 1, 2 and 3</w:t>
            </w:r>
            <w:r w:rsidR="00F62E28">
              <w:rPr>
                <w:rStyle w:val="A4"/>
              </w:rPr>
              <w:t xml:space="preserve"> </w:t>
            </w:r>
            <w:r w:rsidR="004A1EC2" w:rsidRPr="00000F73">
              <w:rPr>
                <w:rStyle w:val="A4"/>
              </w:rPr>
              <w:t>years</w:t>
            </w:r>
            <w:r w:rsidR="00F62E28">
              <w:rPr>
                <w:rStyle w:val="A4"/>
              </w:rPr>
              <w:t>,</w:t>
            </w:r>
            <w:r w:rsidR="004A1EC2" w:rsidRPr="004A1EC2">
              <w:rPr>
                <w:rStyle w:val="A4"/>
              </w:rPr>
              <w:t xml:space="preserve"> following </w:t>
            </w:r>
            <w:r w:rsidR="0069649C">
              <w:rPr>
                <w:rStyle w:val="A4"/>
              </w:rPr>
              <w:t xml:space="preserve">the MBW </w:t>
            </w:r>
            <w:r w:rsidR="004A1EC2" w:rsidRPr="004A1EC2">
              <w:rPr>
                <w:rStyle w:val="A4"/>
              </w:rPr>
              <w:t xml:space="preserve">measurement. Smallest LCI and change in LCI over 1 year was associated with </w:t>
            </w:r>
            <w:r w:rsidR="00E94408">
              <w:rPr>
                <w:rStyle w:val="A4"/>
              </w:rPr>
              <w:t>higher extent of lung disease</w:t>
            </w:r>
            <w:r w:rsidR="004A1EC2" w:rsidRPr="004A1EC2">
              <w:rPr>
                <w:rStyle w:val="A4"/>
              </w:rPr>
              <w:t xml:space="preserve"> on CT at 1,</w:t>
            </w:r>
            <w:r w:rsidR="00F62E28">
              <w:rPr>
                <w:rStyle w:val="A4"/>
              </w:rPr>
              <w:t xml:space="preserve"> </w:t>
            </w:r>
            <w:r w:rsidR="0064748A" w:rsidRPr="004A1EC2">
              <w:rPr>
                <w:rStyle w:val="A4"/>
              </w:rPr>
              <w:t>2 and</w:t>
            </w:r>
            <w:r w:rsidR="004A1EC2" w:rsidRPr="004A1EC2">
              <w:rPr>
                <w:rStyle w:val="A4"/>
              </w:rPr>
              <w:t xml:space="preserve"> 3 years following measurement </w:t>
            </w:r>
            <w:r w:rsidR="00F62E28">
              <w:rPr>
                <w:rStyle w:val="A4"/>
              </w:rPr>
              <w:t>but</w:t>
            </w:r>
            <w:r w:rsidR="00F62E28" w:rsidRPr="004A1EC2">
              <w:rPr>
                <w:rStyle w:val="A4"/>
              </w:rPr>
              <w:t xml:space="preserve"> </w:t>
            </w:r>
            <w:r w:rsidR="004A1EC2" w:rsidRPr="004A1EC2">
              <w:rPr>
                <w:rStyle w:val="A4"/>
              </w:rPr>
              <w:t>not FEV1 z scores</w:t>
            </w:r>
            <w:r w:rsidR="00F62E28">
              <w:rPr>
                <w:rStyle w:val="A4"/>
              </w:rPr>
              <w:t xml:space="preserve"> or hospitalisations</w:t>
            </w:r>
            <w:r w:rsidR="004A1EC2" w:rsidRPr="004A1EC2">
              <w:rPr>
                <w:rStyle w:val="A4"/>
              </w:rPr>
              <w:t>.</w:t>
            </w:r>
            <w:r w:rsidR="00F62E28" w:rsidRPr="004A1EC2">
              <w:rPr>
                <w:rStyle w:val="A4"/>
              </w:rPr>
              <w:t xml:space="preserve"> LCI did not predict future inflammation or infection.  </w:t>
            </w:r>
          </w:p>
          <w:p w14:paraId="08ADA470" w14:textId="77777777" w:rsidR="00FF2B21" w:rsidRPr="00FF2B21" w:rsidRDefault="00FF2B21" w:rsidP="00FF2B21">
            <w:pPr>
              <w:pStyle w:val="Default"/>
            </w:pPr>
          </w:p>
          <w:p w14:paraId="652F7BE1" w14:textId="4AE75EA9" w:rsidR="001564A4" w:rsidRPr="0050053A" w:rsidRDefault="001564A4" w:rsidP="00FF2B21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4A1EC2" w:rsidRPr="004A1EC2">
              <w:rPr>
                <w:bCs/>
                <w:sz w:val="22"/>
                <w:szCs w:val="22"/>
              </w:rPr>
              <w:t>LCI in children with CF is predictive of future spirometry, structural lung disease</w:t>
            </w:r>
            <w:r w:rsidR="00FF2B21">
              <w:rPr>
                <w:bCs/>
                <w:sz w:val="22"/>
                <w:szCs w:val="22"/>
              </w:rPr>
              <w:t xml:space="preserve"> </w:t>
            </w:r>
            <w:r w:rsidR="004A1EC2" w:rsidRPr="00000F73">
              <w:rPr>
                <w:bCs/>
                <w:sz w:val="22"/>
                <w:szCs w:val="22"/>
              </w:rPr>
              <w:t>and hospital admissions.</w:t>
            </w:r>
            <w:r w:rsidR="004A1EC2" w:rsidRPr="004A1EC2">
              <w:rPr>
                <w:bCs/>
                <w:sz w:val="22"/>
                <w:szCs w:val="22"/>
              </w:rPr>
              <w:t xml:space="preserve"> This highlights </w:t>
            </w:r>
            <w:r w:rsidR="00E94408">
              <w:rPr>
                <w:bCs/>
                <w:sz w:val="22"/>
                <w:szCs w:val="22"/>
              </w:rPr>
              <w:t>the</w:t>
            </w:r>
            <w:r w:rsidR="004A1EC2" w:rsidRPr="004A1EC2">
              <w:rPr>
                <w:bCs/>
                <w:sz w:val="22"/>
                <w:szCs w:val="22"/>
              </w:rPr>
              <w:t xml:space="preserve"> potential use </w:t>
            </w:r>
            <w:r w:rsidR="00E94408">
              <w:rPr>
                <w:bCs/>
                <w:sz w:val="22"/>
                <w:szCs w:val="22"/>
              </w:rPr>
              <w:t xml:space="preserve">of </w:t>
            </w:r>
            <w:r w:rsidR="004A1EC2" w:rsidRPr="004A1EC2">
              <w:rPr>
                <w:bCs/>
                <w:sz w:val="22"/>
                <w:szCs w:val="22"/>
              </w:rPr>
              <w:t xml:space="preserve">LCI to guide </w:t>
            </w:r>
            <w:r w:rsidR="0069649C">
              <w:rPr>
                <w:bCs/>
                <w:sz w:val="22"/>
                <w:szCs w:val="22"/>
              </w:rPr>
              <w:t xml:space="preserve">the </w:t>
            </w:r>
            <w:r w:rsidR="00E94408">
              <w:rPr>
                <w:bCs/>
                <w:sz w:val="22"/>
                <w:szCs w:val="22"/>
              </w:rPr>
              <w:t xml:space="preserve">clinical care of </w:t>
            </w:r>
            <w:r w:rsidR="004A1EC2" w:rsidRPr="004A1EC2">
              <w:rPr>
                <w:bCs/>
                <w:sz w:val="22"/>
                <w:szCs w:val="22"/>
              </w:rPr>
              <w:t>young children with CF.</w:t>
            </w:r>
            <w:r w:rsidR="004A1EC2" w:rsidRPr="00F755CC">
              <w:rPr>
                <w:rFonts w:asciiTheme="minorHAnsi" w:hAnsiTheme="minorHAnsi"/>
                <w:sz w:val="22"/>
                <w:szCs w:val="22"/>
                <w:lang w:val="en-US" w:eastAsia="en-GB"/>
              </w:rPr>
              <w:br/>
            </w:r>
          </w:p>
          <w:p w14:paraId="69B04572" w14:textId="167CF95C" w:rsidR="001564A4" w:rsidRPr="004A1EC2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A1EC2">
              <w:rPr>
                <w:rStyle w:val="A4"/>
                <w:b/>
                <w:bCs/>
              </w:rPr>
              <w:t>Grant Support</w:t>
            </w:r>
            <w:r w:rsidR="004A1EC2" w:rsidRPr="0050053A">
              <w:rPr>
                <w:rStyle w:val="A4"/>
                <w:b/>
                <w:bCs/>
              </w:rPr>
              <w:t>:</w:t>
            </w:r>
            <w:r w:rsidR="004A1EC2">
              <w:rPr>
                <w:rStyle w:val="A4"/>
                <w:b/>
                <w:bCs/>
              </w:rPr>
              <w:t xml:space="preserve"> </w:t>
            </w:r>
            <w:r w:rsidR="004A1EC2">
              <w:rPr>
                <w:rStyle w:val="A4"/>
              </w:rPr>
              <w:t>Vertex Pharmaceuticals</w:t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196E7BAC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0F73"/>
    <w:rsid w:val="001564A4"/>
    <w:rsid w:val="00222162"/>
    <w:rsid w:val="0033519E"/>
    <w:rsid w:val="004A1EC2"/>
    <w:rsid w:val="0051574E"/>
    <w:rsid w:val="0064748A"/>
    <w:rsid w:val="0069649C"/>
    <w:rsid w:val="006B44E6"/>
    <w:rsid w:val="008045E0"/>
    <w:rsid w:val="008803FA"/>
    <w:rsid w:val="009936FB"/>
    <w:rsid w:val="00B12E32"/>
    <w:rsid w:val="00D8338D"/>
    <w:rsid w:val="00E0700F"/>
    <w:rsid w:val="00E94408"/>
    <w:rsid w:val="00EA0089"/>
    <w:rsid w:val="00EA7DBD"/>
    <w:rsid w:val="00F13A07"/>
    <w:rsid w:val="00F62E28"/>
    <w:rsid w:val="00FE1796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F62E2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Alana Harper</cp:lastModifiedBy>
  <cp:revision>4</cp:revision>
  <dcterms:created xsi:type="dcterms:W3CDTF">2023-10-19T00:54:00Z</dcterms:created>
  <dcterms:modified xsi:type="dcterms:W3CDTF">2023-10-19T05:25:00Z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