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906C9C" w:rsidRPr="00906C9C" w14:paraId="2245561E" w14:textId="77777777" w:rsidTr="00A534A6">
        <w:trPr>
          <w:jc w:val="center"/>
        </w:trPr>
        <w:tc>
          <w:tcPr>
            <w:tcW w:w="8640" w:type="dxa"/>
            <w:shd w:val="clear" w:color="auto" w:fill="auto"/>
          </w:tcPr>
          <w:p w14:paraId="52B5C4A2" w14:textId="4E80D5A5" w:rsidR="00906C9C" w:rsidRPr="00906C9C" w:rsidRDefault="007E6A82" w:rsidP="00A534A6">
            <w:pPr>
              <w:spacing w:before="120" w:after="120"/>
              <w:rPr>
                <w:rFonts w:ascii="Arial" w:hAnsi="Arial" w:cs="Arial"/>
                <w:b/>
                <w:sz w:val="22"/>
                <w:szCs w:val="22"/>
                <w:lang w:val="en-US" w:eastAsia="zh-CN"/>
              </w:rPr>
            </w:pPr>
            <w:r>
              <w:rPr>
                <w:rFonts w:ascii="Arial" w:hAnsi="Arial" w:cs="Arial"/>
                <w:b/>
                <w:bCs/>
                <w:sz w:val="22"/>
                <w:szCs w:val="22"/>
              </w:rPr>
              <w:t>T</w:t>
            </w:r>
            <w:r w:rsidR="00906C9C" w:rsidRPr="00906C9C">
              <w:rPr>
                <w:rFonts w:ascii="Arial" w:hAnsi="Arial" w:cs="Arial"/>
                <w:b/>
                <w:bCs/>
                <w:sz w:val="22"/>
                <w:szCs w:val="22"/>
              </w:rPr>
              <w:t xml:space="preserve">he </w:t>
            </w:r>
            <w:r w:rsidR="003A1C59">
              <w:rPr>
                <w:rFonts w:ascii="Arial" w:hAnsi="Arial" w:cs="Arial"/>
                <w:b/>
                <w:bCs/>
                <w:sz w:val="22"/>
                <w:szCs w:val="22"/>
              </w:rPr>
              <w:t>u</w:t>
            </w:r>
            <w:r w:rsidR="00346B77">
              <w:rPr>
                <w:rFonts w:ascii="Arial" w:hAnsi="Arial" w:cs="Arial"/>
                <w:b/>
                <w:bCs/>
                <w:sz w:val="22"/>
                <w:szCs w:val="22"/>
              </w:rPr>
              <w:t>tility</w:t>
            </w:r>
            <w:r w:rsidR="00906C9C" w:rsidRPr="00906C9C">
              <w:rPr>
                <w:rFonts w:ascii="Arial" w:hAnsi="Arial" w:cs="Arial"/>
                <w:b/>
                <w:bCs/>
                <w:sz w:val="22"/>
                <w:szCs w:val="22"/>
              </w:rPr>
              <w:t xml:space="preserve"> of </w:t>
            </w:r>
            <w:r w:rsidR="003A1C59">
              <w:rPr>
                <w:rFonts w:ascii="Arial" w:hAnsi="Arial" w:cs="Arial"/>
                <w:b/>
                <w:bCs/>
                <w:sz w:val="22"/>
                <w:szCs w:val="22"/>
              </w:rPr>
              <w:t>g</w:t>
            </w:r>
            <w:r w:rsidR="00906C9C" w:rsidRPr="00906C9C">
              <w:rPr>
                <w:rFonts w:ascii="Arial" w:hAnsi="Arial" w:cs="Arial"/>
                <w:b/>
                <w:bCs/>
                <w:sz w:val="22"/>
                <w:szCs w:val="22"/>
              </w:rPr>
              <w:t xml:space="preserve">enetic </w:t>
            </w:r>
            <w:r w:rsidR="003A1C59">
              <w:rPr>
                <w:rFonts w:ascii="Arial" w:hAnsi="Arial" w:cs="Arial"/>
                <w:b/>
                <w:bCs/>
                <w:sz w:val="22"/>
                <w:szCs w:val="22"/>
              </w:rPr>
              <w:t>t</w:t>
            </w:r>
            <w:r w:rsidR="00906C9C" w:rsidRPr="00906C9C">
              <w:rPr>
                <w:rFonts w:ascii="Arial" w:hAnsi="Arial" w:cs="Arial"/>
                <w:b/>
                <w:bCs/>
                <w:sz w:val="22"/>
                <w:szCs w:val="22"/>
              </w:rPr>
              <w:t xml:space="preserve">esting in </w:t>
            </w:r>
            <w:r w:rsidR="003A1C59">
              <w:rPr>
                <w:rFonts w:ascii="Arial" w:hAnsi="Arial" w:cs="Arial"/>
                <w:b/>
                <w:bCs/>
                <w:sz w:val="22"/>
                <w:szCs w:val="22"/>
              </w:rPr>
              <w:t>a</w:t>
            </w:r>
            <w:r w:rsidR="00906C9C" w:rsidRPr="00906C9C">
              <w:rPr>
                <w:rFonts w:ascii="Arial" w:hAnsi="Arial" w:cs="Arial"/>
                <w:b/>
                <w:bCs/>
                <w:sz w:val="22"/>
                <w:szCs w:val="22"/>
              </w:rPr>
              <w:t>dult</w:t>
            </w:r>
            <w:r w:rsidR="00126C1C">
              <w:rPr>
                <w:rFonts w:ascii="Arial" w:hAnsi="Arial" w:cs="Arial"/>
                <w:b/>
                <w:bCs/>
                <w:sz w:val="22"/>
                <w:szCs w:val="22"/>
              </w:rPr>
              <w:t xml:space="preserve">s </w:t>
            </w:r>
            <w:r w:rsidR="00906C9C" w:rsidRPr="00906C9C">
              <w:rPr>
                <w:rFonts w:ascii="Arial" w:hAnsi="Arial" w:cs="Arial"/>
                <w:b/>
                <w:bCs/>
                <w:sz w:val="22"/>
                <w:szCs w:val="22"/>
              </w:rPr>
              <w:t xml:space="preserve">with </w:t>
            </w:r>
            <w:r w:rsidR="003A1C59">
              <w:rPr>
                <w:rFonts w:ascii="Arial" w:hAnsi="Arial" w:cs="Arial"/>
                <w:b/>
                <w:bCs/>
                <w:sz w:val="22"/>
                <w:szCs w:val="22"/>
              </w:rPr>
              <w:t>p</w:t>
            </w:r>
            <w:r w:rsidR="00906C9C" w:rsidRPr="00906C9C">
              <w:rPr>
                <w:rFonts w:ascii="Arial" w:hAnsi="Arial" w:cs="Arial"/>
                <w:b/>
                <w:bCs/>
                <w:sz w:val="22"/>
                <w:szCs w:val="22"/>
              </w:rPr>
              <w:t xml:space="preserve">ulmonary </w:t>
            </w:r>
            <w:r w:rsidR="003A1C59">
              <w:rPr>
                <w:rFonts w:ascii="Arial" w:hAnsi="Arial" w:cs="Arial"/>
                <w:b/>
                <w:bCs/>
                <w:sz w:val="22"/>
                <w:szCs w:val="22"/>
              </w:rPr>
              <w:t>f</w:t>
            </w:r>
            <w:r w:rsidR="00906C9C" w:rsidRPr="00906C9C">
              <w:rPr>
                <w:rFonts w:ascii="Arial" w:hAnsi="Arial" w:cs="Arial"/>
                <w:b/>
                <w:bCs/>
                <w:sz w:val="22"/>
                <w:szCs w:val="22"/>
              </w:rPr>
              <w:t xml:space="preserve">ibrosis: </w:t>
            </w:r>
            <w:r w:rsidR="00B502EE">
              <w:rPr>
                <w:rFonts w:ascii="Arial" w:hAnsi="Arial" w:cs="Arial"/>
                <w:b/>
                <w:bCs/>
                <w:sz w:val="22"/>
                <w:szCs w:val="22"/>
              </w:rPr>
              <w:t xml:space="preserve">A </w:t>
            </w:r>
            <w:r w:rsidR="00E34E20">
              <w:rPr>
                <w:rFonts w:ascii="Arial" w:hAnsi="Arial" w:cs="Arial"/>
                <w:b/>
                <w:bCs/>
                <w:sz w:val="22"/>
                <w:szCs w:val="22"/>
              </w:rPr>
              <w:t>r</w:t>
            </w:r>
            <w:r w:rsidR="00906C9C" w:rsidRPr="00906C9C">
              <w:rPr>
                <w:rFonts w:ascii="Arial" w:hAnsi="Arial" w:cs="Arial"/>
                <w:b/>
                <w:bCs/>
                <w:sz w:val="22"/>
                <w:szCs w:val="22"/>
              </w:rPr>
              <w:t xml:space="preserve">etrospective </w:t>
            </w:r>
            <w:r w:rsidR="003A1C59">
              <w:rPr>
                <w:rFonts w:ascii="Arial" w:hAnsi="Arial" w:cs="Arial"/>
                <w:b/>
                <w:bCs/>
                <w:sz w:val="22"/>
                <w:szCs w:val="22"/>
              </w:rPr>
              <w:t>c</w:t>
            </w:r>
            <w:r w:rsidR="00906C9C" w:rsidRPr="00906C9C">
              <w:rPr>
                <w:rFonts w:ascii="Arial" w:hAnsi="Arial" w:cs="Arial"/>
                <w:b/>
                <w:bCs/>
                <w:sz w:val="22"/>
                <w:szCs w:val="22"/>
              </w:rPr>
              <w:t xml:space="preserve">ohort </w:t>
            </w:r>
            <w:r w:rsidR="003A1C59">
              <w:rPr>
                <w:rFonts w:ascii="Arial" w:hAnsi="Arial" w:cs="Arial"/>
                <w:b/>
                <w:bCs/>
                <w:sz w:val="22"/>
                <w:szCs w:val="22"/>
              </w:rPr>
              <w:t>s</w:t>
            </w:r>
            <w:r w:rsidR="00906C9C" w:rsidRPr="00906C9C">
              <w:rPr>
                <w:rFonts w:ascii="Arial" w:hAnsi="Arial" w:cs="Arial"/>
                <w:b/>
                <w:bCs/>
                <w:sz w:val="22"/>
                <w:szCs w:val="22"/>
              </w:rPr>
              <w:t>tudy.</w:t>
            </w:r>
          </w:p>
        </w:tc>
      </w:tr>
      <w:tr w:rsidR="00906C9C" w:rsidRPr="00906C9C" w14:paraId="421394C5" w14:textId="77777777" w:rsidTr="00A534A6">
        <w:trPr>
          <w:jc w:val="center"/>
        </w:trPr>
        <w:tc>
          <w:tcPr>
            <w:tcW w:w="8640" w:type="dxa"/>
            <w:shd w:val="clear" w:color="auto" w:fill="auto"/>
          </w:tcPr>
          <w:p w14:paraId="59057984" w14:textId="46119775" w:rsidR="00906C9C" w:rsidRPr="00906C9C" w:rsidRDefault="007E6A82" w:rsidP="00A534A6">
            <w:pPr>
              <w:rPr>
                <w:rFonts w:ascii="Arial" w:hAnsi="Arial" w:cs="Arial"/>
                <w:sz w:val="22"/>
                <w:szCs w:val="22"/>
                <w:lang w:eastAsia="en-US"/>
              </w:rPr>
            </w:pPr>
            <w:r w:rsidRPr="00906C9C">
              <w:rPr>
                <w:rFonts w:ascii="Arial" w:hAnsi="Arial" w:cs="Arial"/>
                <w:sz w:val="22"/>
                <w:szCs w:val="22"/>
              </w:rPr>
              <w:t>Dixon, O</w:t>
            </w:r>
            <w:r w:rsidRPr="00906C9C">
              <w:rPr>
                <w:rFonts w:ascii="Arial" w:hAnsi="Arial" w:cs="Arial"/>
                <w:sz w:val="22"/>
                <w:szCs w:val="22"/>
                <w:vertAlign w:val="superscript"/>
              </w:rPr>
              <w:t>1</w:t>
            </w:r>
            <w:r w:rsidRPr="00906C9C">
              <w:rPr>
                <w:rFonts w:ascii="Arial" w:hAnsi="Arial" w:cs="Arial"/>
                <w:sz w:val="22"/>
                <w:szCs w:val="22"/>
              </w:rPr>
              <w:t>,</w:t>
            </w:r>
            <w:r>
              <w:rPr>
                <w:rFonts w:ascii="Arial" w:hAnsi="Arial" w:cs="Arial"/>
                <w:sz w:val="22"/>
                <w:szCs w:val="22"/>
              </w:rPr>
              <w:t xml:space="preserve"> Lutzky, V </w:t>
            </w:r>
            <w:r w:rsidRPr="00D557F0">
              <w:rPr>
                <w:rFonts w:ascii="Arial" w:hAnsi="Arial" w:cs="Arial"/>
                <w:sz w:val="22"/>
                <w:szCs w:val="22"/>
                <w:vertAlign w:val="superscript"/>
              </w:rPr>
              <w:t>1,2</w:t>
            </w:r>
            <w:r>
              <w:rPr>
                <w:rFonts w:ascii="Arial" w:hAnsi="Arial" w:cs="Arial"/>
                <w:sz w:val="22"/>
                <w:szCs w:val="22"/>
              </w:rPr>
              <w:t xml:space="preserve">, Zhang, L </w:t>
            </w:r>
            <w:r w:rsidRPr="00D557F0">
              <w:rPr>
                <w:rFonts w:ascii="Arial" w:hAnsi="Arial" w:cs="Arial"/>
                <w:sz w:val="22"/>
                <w:szCs w:val="22"/>
                <w:vertAlign w:val="superscript"/>
              </w:rPr>
              <w:t>1,2</w:t>
            </w:r>
            <w:r>
              <w:rPr>
                <w:rFonts w:ascii="Arial" w:hAnsi="Arial" w:cs="Arial"/>
                <w:sz w:val="22"/>
                <w:szCs w:val="22"/>
              </w:rPr>
              <w:t>,</w:t>
            </w:r>
            <w:r w:rsidRPr="00906C9C">
              <w:rPr>
                <w:rFonts w:ascii="Arial" w:hAnsi="Arial" w:cs="Arial"/>
                <w:sz w:val="22"/>
                <w:szCs w:val="22"/>
              </w:rPr>
              <w:t xml:space="preserve"> </w:t>
            </w:r>
            <w:r>
              <w:rPr>
                <w:rFonts w:ascii="Arial" w:hAnsi="Arial" w:cs="Arial"/>
                <w:sz w:val="22"/>
                <w:szCs w:val="22"/>
              </w:rPr>
              <w:t xml:space="preserve">Watson, S </w:t>
            </w:r>
            <w:r w:rsidRPr="00D557F0">
              <w:rPr>
                <w:rFonts w:ascii="Arial" w:hAnsi="Arial" w:cs="Arial"/>
                <w:sz w:val="22"/>
                <w:szCs w:val="22"/>
                <w:vertAlign w:val="superscript"/>
              </w:rPr>
              <w:t>1</w:t>
            </w:r>
            <w:r>
              <w:rPr>
                <w:rFonts w:ascii="Arial" w:hAnsi="Arial" w:cs="Arial"/>
                <w:sz w:val="22"/>
                <w:szCs w:val="22"/>
              </w:rPr>
              <w:t xml:space="preserve">, </w:t>
            </w:r>
            <w:r w:rsidRPr="00906C9C">
              <w:rPr>
                <w:rFonts w:ascii="Arial" w:hAnsi="Arial" w:cs="Arial"/>
                <w:sz w:val="22"/>
                <w:szCs w:val="22"/>
              </w:rPr>
              <w:t>Rodgers J</w:t>
            </w:r>
            <w:r w:rsidRPr="00906C9C">
              <w:rPr>
                <w:rFonts w:ascii="Arial" w:hAnsi="Arial" w:cs="Arial"/>
                <w:sz w:val="22"/>
                <w:szCs w:val="22"/>
                <w:vertAlign w:val="superscript"/>
              </w:rPr>
              <w:t>2,3</w:t>
            </w:r>
            <w:r>
              <w:rPr>
                <w:rFonts w:ascii="Arial" w:hAnsi="Arial" w:cs="Arial"/>
                <w:sz w:val="22"/>
                <w:szCs w:val="22"/>
              </w:rPr>
              <w:t xml:space="preserve">, Chambers, D </w:t>
            </w:r>
            <w:r w:rsidRPr="00D557F0">
              <w:rPr>
                <w:rFonts w:ascii="Arial" w:hAnsi="Arial" w:cs="Arial"/>
                <w:sz w:val="22"/>
                <w:szCs w:val="22"/>
                <w:vertAlign w:val="superscript"/>
              </w:rPr>
              <w:t>1,2</w:t>
            </w:r>
            <w:r>
              <w:rPr>
                <w:rFonts w:ascii="Arial" w:hAnsi="Arial" w:cs="Arial"/>
                <w:sz w:val="22"/>
                <w:szCs w:val="22"/>
              </w:rPr>
              <w:t xml:space="preserve">, </w:t>
            </w:r>
            <w:r w:rsidRPr="00906C9C">
              <w:rPr>
                <w:rFonts w:ascii="Arial" w:hAnsi="Arial" w:cs="Arial"/>
                <w:sz w:val="22"/>
                <w:szCs w:val="22"/>
              </w:rPr>
              <w:t>Mackintosh</w:t>
            </w:r>
            <w:r>
              <w:rPr>
                <w:rFonts w:ascii="Arial" w:hAnsi="Arial" w:cs="Arial"/>
                <w:sz w:val="22"/>
                <w:szCs w:val="22"/>
              </w:rPr>
              <w:t>,</w:t>
            </w:r>
            <w:r w:rsidRPr="00906C9C">
              <w:rPr>
                <w:rFonts w:ascii="Arial" w:hAnsi="Arial" w:cs="Arial"/>
                <w:sz w:val="22"/>
                <w:szCs w:val="22"/>
              </w:rPr>
              <w:t xml:space="preserve"> J</w:t>
            </w:r>
            <w:r w:rsidRPr="00906C9C">
              <w:rPr>
                <w:rFonts w:ascii="Arial" w:hAnsi="Arial" w:cs="Arial"/>
                <w:sz w:val="22"/>
                <w:szCs w:val="22"/>
                <w:vertAlign w:val="superscript"/>
              </w:rPr>
              <w:t>1,2</w:t>
            </w:r>
          </w:p>
        </w:tc>
      </w:tr>
      <w:tr w:rsidR="00906C9C" w:rsidRPr="00906C9C" w14:paraId="07E76078" w14:textId="77777777" w:rsidTr="00A534A6">
        <w:trPr>
          <w:trHeight w:val="136"/>
          <w:jc w:val="center"/>
        </w:trPr>
        <w:tc>
          <w:tcPr>
            <w:tcW w:w="8640" w:type="dxa"/>
            <w:shd w:val="clear" w:color="auto" w:fill="auto"/>
          </w:tcPr>
          <w:p w14:paraId="5EC09245" w14:textId="77777777" w:rsidR="00226985" w:rsidRPr="00906C9C" w:rsidRDefault="00226985" w:rsidP="00226985">
            <w:pPr>
              <w:rPr>
                <w:rFonts w:ascii="Arial" w:hAnsi="Arial" w:cs="Arial"/>
                <w:i/>
                <w:iCs/>
                <w:sz w:val="22"/>
                <w:szCs w:val="22"/>
              </w:rPr>
            </w:pPr>
            <w:r w:rsidRPr="00906C9C">
              <w:rPr>
                <w:rFonts w:ascii="Arial" w:hAnsi="Arial" w:cs="Arial"/>
                <w:i/>
                <w:iCs/>
                <w:sz w:val="22"/>
                <w:szCs w:val="22"/>
                <w:vertAlign w:val="superscript"/>
              </w:rPr>
              <w:t>1</w:t>
            </w:r>
            <w:r>
              <w:rPr>
                <w:rFonts w:ascii="Arial" w:hAnsi="Arial" w:cs="Arial"/>
                <w:i/>
                <w:iCs/>
                <w:sz w:val="22"/>
                <w:szCs w:val="22"/>
              </w:rPr>
              <w:t>Queensland Lung Transplant Service, D</w:t>
            </w:r>
            <w:r w:rsidRPr="00906C9C">
              <w:rPr>
                <w:rFonts w:ascii="Arial" w:hAnsi="Arial" w:cs="Arial"/>
                <w:i/>
                <w:iCs/>
                <w:sz w:val="22"/>
                <w:szCs w:val="22"/>
              </w:rPr>
              <w:t>epartment of Thoracic Medicine, The Prince Charles Hospital, Brisbane, Australia.</w:t>
            </w:r>
          </w:p>
          <w:p w14:paraId="1CB848D8" w14:textId="77777777" w:rsidR="00226985" w:rsidRPr="00906C9C" w:rsidRDefault="00226985" w:rsidP="00226985">
            <w:pPr>
              <w:rPr>
                <w:rFonts w:ascii="Arial" w:hAnsi="Arial" w:cs="Arial"/>
                <w:i/>
                <w:iCs/>
                <w:sz w:val="22"/>
                <w:szCs w:val="22"/>
              </w:rPr>
            </w:pPr>
            <w:r w:rsidRPr="00906C9C">
              <w:rPr>
                <w:rFonts w:ascii="Arial" w:hAnsi="Arial" w:cs="Arial"/>
                <w:i/>
                <w:iCs/>
                <w:sz w:val="22"/>
                <w:szCs w:val="22"/>
                <w:vertAlign w:val="superscript"/>
              </w:rPr>
              <w:t>2</w:t>
            </w:r>
            <w:r w:rsidRPr="00906C9C">
              <w:rPr>
                <w:rFonts w:ascii="Arial" w:hAnsi="Arial" w:cs="Arial"/>
                <w:i/>
                <w:iCs/>
                <w:sz w:val="22"/>
                <w:szCs w:val="22"/>
              </w:rPr>
              <w:t>Faculty of Medicine, University of Queensland, Brisbane, Australia.</w:t>
            </w:r>
          </w:p>
          <w:p w14:paraId="1DDE852D" w14:textId="77777777" w:rsidR="0048309F" w:rsidRDefault="00226985" w:rsidP="00A534A6">
            <w:pPr>
              <w:rPr>
                <w:rFonts w:ascii="Arial" w:hAnsi="Arial" w:cs="Arial"/>
                <w:i/>
                <w:iCs/>
                <w:sz w:val="22"/>
                <w:szCs w:val="22"/>
              </w:rPr>
            </w:pPr>
            <w:r w:rsidRPr="00906C9C">
              <w:rPr>
                <w:rFonts w:ascii="Arial" w:hAnsi="Arial" w:cs="Arial"/>
                <w:i/>
                <w:iCs/>
                <w:sz w:val="22"/>
                <w:szCs w:val="22"/>
                <w:vertAlign w:val="superscript"/>
              </w:rPr>
              <w:t>3</w:t>
            </w:r>
            <w:r w:rsidRPr="00906C9C">
              <w:rPr>
                <w:rFonts w:ascii="Arial" w:hAnsi="Arial" w:cs="Arial"/>
                <w:i/>
                <w:iCs/>
                <w:sz w:val="22"/>
                <w:szCs w:val="22"/>
              </w:rPr>
              <w:t xml:space="preserve">Genetic Health Queensland, Royal Brisbane and Women’s Hospital, Brisbane, Australia. </w:t>
            </w:r>
          </w:p>
          <w:p w14:paraId="62A25017" w14:textId="003904B3" w:rsidR="006C2EFE" w:rsidRPr="00226985" w:rsidRDefault="006C2EFE" w:rsidP="00A534A6">
            <w:pPr>
              <w:rPr>
                <w:rFonts w:ascii="Arial" w:hAnsi="Arial" w:cs="Arial"/>
                <w:i/>
                <w:iCs/>
                <w:sz w:val="22"/>
                <w:szCs w:val="22"/>
              </w:rPr>
            </w:pPr>
          </w:p>
        </w:tc>
      </w:tr>
      <w:tr w:rsidR="00906C9C" w:rsidRPr="00906C9C" w14:paraId="243A9FDD" w14:textId="77777777" w:rsidTr="00A534A6">
        <w:trPr>
          <w:trHeight w:hRule="exact" w:val="10610"/>
          <w:jc w:val="center"/>
        </w:trPr>
        <w:tc>
          <w:tcPr>
            <w:tcW w:w="8640" w:type="dxa"/>
            <w:shd w:val="clear" w:color="auto" w:fill="auto"/>
          </w:tcPr>
          <w:p w14:paraId="526C9477" w14:textId="77777777" w:rsidR="00906C9C" w:rsidRPr="00906C9C" w:rsidRDefault="00906C9C" w:rsidP="00A534A6">
            <w:pPr>
              <w:pStyle w:val="Pa12"/>
              <w:rPr>
                <w:rStyle w:val="A4"/>
              </w:rPr>
            </w:pPr>
            <w:r w:rsidRPr="00906C9C">
              <w:rPr>
                <w:rStyle w:val="A4"/>
                <w:b/>
                <w:bCs/>
              </w:rPr>
              <w:t xml:space="preserve">Introduction/Aim: </w:t>
            </w:r>
          </w:p>
          <w:p w14:paraId="2A886DE7" w14:textId="3BFAA9C1" w:rsidR="00906C9C" w:rsidRPr="00906C9C" w:rsidRDefault="00906C9C" w:rsidP="00A534A6">
            <w:pPr>
              <w:rPr>
                <w:rFonts w:ascii="Arial" w:hAnsi="Arial" w:cs="Arial"/>
                <w:sz w:val="22"/>
                <w:szCs w:val="22"/>
              </w:rPr>
            </w:pPr>
            <w:r w:rsidRPr="00906C9C">
              <w:rPr>
                <w:rFonts w:ascii="Arial" w:hAnsi="Arial" w:cs="Arial"/>
                <w:sz w:val="22"/>
                <w:szCs w:val="22"/>
              </w:rPr>
              <w:t xml:space="preserve">There is increasing recognition of the role that genetic factors play in the aetiology of pulmonary fibrosis (PF). However, confirmatory testing is rarely performed in clinical practice, which may reflect the paucity of evidence-based guidelines in this setting. The aim of this study was to assess the clinical utility of genetic testing </w:t>
            </w:r>
            <w:r w:rsidR="00A8055B">
              <w:rPr>
                <w:rFonts w:ascii="Arial" w:hAnsi="Arial" w:cs="Arial"/>
                <w:sz w:val="22"/>
                <w:szCs w:val="22"/>
              </w:rPr>
              <w:t>in</w:t>
            </w:r>
            <w:r w:rsidRPr="00906C9C">
              <w:rPr>
                <w:rFonts w:ascii="Arial" w:hAnsi="Arial" w:cs="Arial"/>
                <w:sz w:val="22"/>
                <w:szCs w:val="22"/>
              </w:rPr>
              <w:t xml:space="preserve"> adults with </w:t>
            </w:r>
            <w:r w:rsidR="00CA4A6E">
              <w:rPr>
                <w:rFonts w:ascii="Arial" w:hAnsi="Arial" w:cs="Arial"/>
                <w:sz w:val="22"/>
                <w:szCs w:val="22"/>
              </w:rPr>
              <w:t>PF</w:t>
            </w:r>
            <w:r w:rsidRPr="00906C9C">
              <w:rPr>
                <w:rFonts w:ascii="Arial" w:hAnsi="Arial" w:cs="Arial"/>
                <w:sz w:val="22"/>
                <w:szCs w:val="22"/>
              </w:rPr>
              <w:t xml:space="preserve"> </w:t>
            </w:r>
            <w:r w:rsidR="00CA4A6E">
              <w:rPr>
                <w:rFonts w:ascii="Arial" w:hAnsi="Arial" w:cs="Arial"/>
                <w:sz w:val="22"/>
                <w:szCs w:val="22"/>
              </w:rPr>
              <w:t>within</w:t>
            </w:r>
            <w:r w:rsidRPr="00906C9C">
              <w:rPr>
                <w:rFonts w:ascii="Arial" w:hAnsi="Arial" w:cs="Arial"/>
                <w:sz w:val="22"/>
                <w:szCs w:val="22"/>
              </w:rPr>
              <w:t xml:space="preserve"> our local cohort. </w:t>
            </w:r>
          </w:p>
          <w:p w14:paraId="4EECF422" w14:textId="77777777" w:rsidR="00906C9C" w:rsidRPr="00906C9C" w:rsidRDefault="00906C9C" w:rsidP="00A534A6">
            <w:pPr>
              <w:pStyle w:val="Pa12"/>
              <w:rPr>
                <w:rStyle w:val="A4"/>
                <w:bCs/>
              </w:rPr>
            </w:pPr>
          </w:p>
          <w:p w14:paraId="735EA58C" w14:textId="77777777" w:rsidR="00906C9C" w:rsidRPr="00906C9C" w:rsidRDefault="00906C9C" w:rsidP="00A534A6">
            <w:pPr>
              <w:pStyle w:val="Pa12"/>
              <w:rPr>
                <w:rStyle w:val="A4"/>
                <w:b/>
                <w:bCs/>
              </w:rPr>
            </w:pPr>
            <w:r w:rsidRPr="00906C9C">
              <w:rPr>
                <w:rStyle w:val="A4"/>
                <w:b/>
                <w:bCs/>
              </w:rPr>
              <w:t xml:space="preserve">Methods: </w:t>
            </w:r>
          </w:p>
          <w:p w14:paraId="1101ECF7" w14:textId="77777777" w:rsidR="00906C9C" w:rsidRPr="00906C9C" w:rsidRDefault="00906C9C" w:rsidP="00A534A6">
            <w:pPr>
              <w:rPr>
                <w:rFonts w:ascii="Arial" w:hAnsi="Arial" w:cs="Arial"/>
                <w:sz w:val="22"/>
                <w:szCs w:val="22"/>
              </w:rPr>
            </w:pPr>
            <w:r w:rsidRPr="00906C9C">
              <w:rPr>
                <w:rFonts w:ascii="Arial" w:hAnsi="Arial" w:cs="Arial"/>
                <w:sz w:val="22"/>
                <w:szCs w:val="22"/>
              </w:rPr>
              <w:t xml:space="preserve">A retrospective cohort study was performed, including all adults with PF who completed genetic testing at a single tertiary centre between 29/6/17 and 27/6/23. </w:t>
            </w:r>
          </w:p>
          <w:p w14:paraId="11EC7203" w14:textId="77777777" w:rsidR="00906C9C" w:rsidRPr="00906C9C" w:rsidRDefault="00906C9C" w:rsidP="00A534A6">
            <w:pPr>
              <w:pStyle w:val="Pa12"/>
              <w:rPr>
                <w:rStyle w:val="A4"/>
                <w:color w:val="auto"/>
              </w:rPr>
            </w:pPr>
          </w:p>
          <w:p w14:paraId="36DE8BFF" w14:textId="77777777" w:rsidR="00906C9C" w:rsidRPr="00906C9C" w:rsidRDefault="00906C9C" w:rsidP="00A534A6">
            <w:pPr>
              <w:pStyle w:val="Pa12"/>
              <w:rPr>
                <w:rStyle w:val="A4"/>
                <w:b/>
                <w:bCs/>
              </w:rPr>
            </w:pPr>
            <w:r w:rsidRPr="00906C9C">
              <w:rPr>
                <w:rStyle w:val="A4"/>
                <w:b/>
                <w:bCs/>
              </w:rPr>
              <w:t xml:space="preserve">Results: </w:t>
            </w:r>
          </w:p>
          <w:p w14:paraId="25B6E065" w14:textId="6A4D8AB2" w:rsidR="00906C9C" w:rsidRPr="00906C9C" w:rsidRDefault="00906C9C" w:rsidP="00716DE9">
            <w:pPr>
              <w:rPr>
                <w:rStyle w:val="A4"/>
                <w:rFonts w:ascii="Arial" w:hAnsi="Arial" w:cs="Arial"/>
                <w:color w:val="auto"/>
              </w:rPr>
            </w:pPr>
            <w:r w:rsidRPr="00906C9C">
              <w:rPr>
                <w:rFonts w:ascii="Arial" w:hAnsi="Arial" w:cs="Arial"/>
                <w:sz w:val="22"/>
                <w:szCs w:val="22"/>
              </w:rPr>
              <w:t>Forty-one adults with</w:t>
            </w:r>
            <w:r w:rsidR="00CE321A">
              <w:rPr>
                <w:rFonts w:ascii="Arial" w:hAnsi="Arial" w:cs="Arial"/>
                <w:sz w:val="22"/>
                <w:szCs w:val="22"/>
              </w:rPr>
              <w:t xml:space="preserve"> PF</w:t>
            </w:r>
            <w:r w:rsidRPr="00906C9C">
              <w:rPr>
                <w:rFonts w:ascii="Arial" w:hAnsi="Arial" w:cs="Arial"/>
                <w:sz w:val="22"/>
                <w:szCs w:val="22"/>
              </w:rPr>
              <w:t xml:space="preserve"> completed genetic testing between 29/6/17 and 27/6/23. Twenty-two patients (53.7%) had at least one mutation identified on genetic testing. Of these, nine were considered pathogenic, thirteen were classified as variants of uncertain significance. </w:t>
            </w:r>
            <w:r w:rsidR="000E751B">
              <w:rPr>
                <w:rFonts w:ascii="Arial" w:hAnsi="Arial" w:cs="Arial"/>
                <w:sz w:val="22"/>
                <w:szCs w:val="22"/>
              </w:rPr>
              <w:t xml:space="preserve">Four patients had two or more mutations detected. </w:t>
            </w:r>
            <w:r w:rsidR="005146D7">
              <w:rPr>
                <w:rFonts w:ascii="Arial" w:hAnsi="Arial" w:cs="Arial"/>
                <w:sz w:val="22"/>
                <w:szCs w:val="22"/>
              </w:rPr>
              <w:t>There were nineteen mutations affecting telomere-related genes</w:t>
            </w:r>
            <w:r w:rsidR="00C3751E">
              <w:rPr>
                <w:rFonts w:ascii="Arial" w:hAnsi="Arial" w:cs="Arial"/>
                <w:sz w:val="22"/>
                <w:szCs w:val="22"/>
              </w:rPr>
              <w:t xml:space="preserve"> (TERT</w:t>
            </w:r>
            <w:r w:rsidR="001E57E7">
              <w:rPr>
                <w:rFonts w:ascii="Arial" w:hAnsi="Arial" w:cs="Arial"/>
                <w:sz w:val="22"/>
                <w:szCs w:val="22"/>
              </w:rPr>
              <w:t>,</w:t>
            </w:r>
            <w:r w:rsidR="00C3751E">
              <w:rPr>
                <w:rFonts w:ascii="Arial" w:hAnsi="Arial" w:cs="Arial"/>
                <w:sz w:val="22"/>
                <w:szCs w:val="22"/>
              </w:rPr>
              <w:t xml:space="preserve"> PARN, RTEL1, TERC)</w:t>
            </w:r>
            <w:r w:rsidR="001E57E7">
              <w:rPr>
                <w:rFonts w:ascii="Arial" w:hAnsi="Arial" w:cs="Arial"/>
                <w:sz w:val="22"/>
                <w:szCs w:val="22"/>
              </w:rPr>
              <w:t xml:space="preserve"> </w:t>
            </w:r>
            <w:r w:rsidR="005146D7">
              <w:rPr>
                <w:rFonts w:ascii="Arial" w:hAnsi="Arial" w:cs="Arial"/>
                <w:sz w:val="22"/>
                <w:szCs w:val="22"/>
              </w:rPr>
              <w:t>six mutations affecting genes involved in surfactant homeostasis</w:t>
            </w:r>
            <w:r w:rsidR="001E57E7">
              <w:rPr>
                <w:rFonts w:ascii="Arial" w:hAnsi="Arial" w:cs="Arial"/>
                <w:sz w:val="22"/>
                <w:szCs w:val="22"/>
              </w:rPr>
              <w:t xml:space="preserve"> </w:t>
            </w:r>
            <w:r w:rsidR="006A769E">
              <w:rPr>
                <w:rFonts w:ascii="Arial" w:hAnsi="Arial" w:cs="Arial"/>
                <w:sz w:val="22"/>
                <w:szCs w:val="22"/>
              </w:rPr>
              <w:t xml:space="preserve">(ABCA3) </w:t>
            </w:r>
            <w:r w:rsidR="001E57E7">
              <w:rPr>
                <w:rFonts w:ascii="Arial" w:hAnsi="Arial" w:cs="Arial"/>
                <w:sz w:val="22"/>
                <w:szCs w:val="22"/>
              </w:rPr>
              <w:t xml:space="preserve">and three mutations in </w:t>
            </w:r>
            <w:r w:rsidR="0036262F">
              <w:rPr>
                <w:rFonts w:ascii="Arial" w:hAnsi="Arial" w:cs="Arial"/>
                <w:sz w:val="22"/>
                <w:szCs w:val="22"/>
              </w:rPr>
              <w:t>genes associated with</w:t>
            </w:r>
            <w:r w:rsidR="00B75AAA">
              <w:rPr>
                <w:rFonts w:ascii="Arial" w:hAnsi="Arial" w:cs="Arial"/>
                <w:sz w:val="22"/>
                <w:szCs w:val="22"/>
              </w:rPr>
              <w:t xml:space="preserve"> PF</w:t>
            </w:r>
            <w:r w:rsidR="0036262F">
              <w:rPr>
                <w:rFonts w:ascii="Arial" w:hAnsi="Arial" w:cs="Arial"/>
                <w:sz w:val="22"/>
                <w:szCs w:val="22"/>
              </w:rPr>
              <w:t xml:space="preserve"> though alternative mechanisms</w:t>
            </w:r>
            <w:r w:rsidR="00A601C9">
              <w:rPr>
                <w:rFonts w:ascii="Arial" w:hAnsi="Arial" w:cs="Arial"/>
                <w:sz w:val="22"/>
                <w:szCs w:val="22"/>
              </w:rPr>
              <w:t xml:space="preserve"> (SMPD1, ASAH1, HPS4)</w:t>
            </w:r>
            <w:r w:rsidR="0036262F">
              <w:rPr>
                <w:rFonts w:ascii="Arial" w:hAnsi="Arial" w:cs="Arial"/>
                <w:sz w:val="22"/>
                <w:szCs w:val="22"/>
              </w:rPr>
              <w:t>.</w:t>
            </w:r>
            <w:r w:rsidR="00716DE9">
              <w:rPr>
                <w:rFonts w:ascii="Arial" w:hAnsi="Arial" w:cs="Arial"/>
                <w:sz w:val="22"/>
                <w:szCs w:val="22"/>
              </w:rPr>
              <w:t xml:space="preserve"> </w:t>
            </w:r>
            <w:r w:rsidRPr="00906C9C">
              <w:rPr>
                <w:rFonts w:ascii="Arial" w:hAnsi="Arial" w:cs="Arial"/>
                <w:sz w:val="22"/>
                <w:szCs w:val="22"/>
              </w:rPr>
              <w:t xml:space="preserve">There was no family history present in eight of the </w:t>
            </w:r>
            <w:r w:rsidR="0084584C">
              <w:rPr>
                <w:rFonts w:ascii="Arial" w:hAnsi="Arial" w:cs="Arial"/>
                <w:sz w:val="22"/>
                <w:szCs w:val="22"/>
              </w:rPr>
              <w:t>patients</w:t>
            </w:r>
            <w:r w:rsidRPr="00906C9C">
              <w:rPr>
                <w:rFonts w:ascii="Arial" w:hAnsi="Arial" w:cs="Arial"/>
                <w:sz w:val="22"/>
                <w:szCs w:val="22"/>
              </w:rPr>
              <w:t xml:space="preserve"> with genetic mutations</w:t>
            </w:r>
            <w:r w:rsidR="007B5503">
              <w:rPr>
                <w:rFonts w:ascii="Arial" w:hAnsi="Arial" w:cs="Arial"/>
                <w:sz w:val="22"/>
                <w:szCs w:val="22"/>
              </w:rPr>
              <w:t xml:space="preserve"> present</w:t>
            </w:r>
            <w:r w:rsidRPr="00906C9C">
              <w:rPr>
                <w:rFonts w:ascii="Arial" w:hAnsi="Arial" w:cs="Arial"/>
                <w:sz w:val="22"/>
                <w:szCs w:val="22"/>
              </w:rPr>
              <w:t>. Peripheral blood mononuclear cell flow-FISH telomere length (TL) was above the 10</w:t>
            </w:r>
            <w:r w:rsidRPr="00906C9C">
              <w:rPr>
                <w:rFonts w:ascii="Arial" w:hAnsi="Arial" w:cs="Arial"/>
                <w:sz w:val="22"/>
                <w:szCs w:val="22"/>
                <w:vertAlign w:val="superscript"/>
              </w:rPr>
              <w:t>th</w:t>
            </w:r>
            <w:r w:rsidRPr="00906C9C">
              <w:rPr>
                <w:rFonts w:ascii="Arial" w:hAnsi="Arial" w:cs="Arial"/>
                <w:sz w:val="22"/>
                <w:szCs w:val="22"/>
              </w:rPr>
              <w:t xml:space="preserve"> percentile in three patients with mutation</w:t>
            </w:r>
            <w:r w:rsidR="00FA16A0">
              <w:rPr>
                <w:rFonts w:ascii="Arial" w:hAnsi="Arial" w:cs="Arial"/>
                <w:sz w:val="22"/>
                <w:szCs w:val="22"/>
              </w:rPr>
              <w:t>s</w:t>
            </w:r>
            <w:r w:rsidRPr="00906C9C">
              <w:rPr>
                <w:rFonts w:ascii="Arial" w:hAnsi="Arial" w:cs="Arial"/>
                <w:sz w:val="22"/>
                <w:szCs w:val="22"/>
              </w:rPr>
              <w:t xml:space="preserve"> in telomere-related genes.</w:t>
            </w:r>
            <w:r w:rsidRPr="00906C9C">
              <w:rPr>
                <w:rFonts w:ascii="Arial" w:hAnsi="Arial" w:cs="Arial"/>
                <w:sz w:val="22"/>
                <w:szCs w:val="22"/>
              </w:rPr>
              <w:br/>
            </w:r>
          </w:p>
          <w:p w14:paraId="73CB3A10" w14:textId="77777777" w:rsidR="00906C9C" w:rsidRPr="00906C9C" w:rsidRDefault="00906C9C" w:rsidP="00A534A6">
            <w:pPr>
              <w:pStyle w:val="Pa12"/>
              <w:rPr>
                <w:rStyle w:val="A4"/>
                <w:b/>
                <w:bCs/>
              </w:rPr>
            </w:pPr>
            <w:r w:rsidRPr="00906C9C">
              <w:rPr>
                <w:rStyle w:val="A4"/>
                <w:b/>
                <w:bCs/>
              </w:rPr>
              <w:t xml:space="preserve">Conclusion: </w:t>
            </w:r>
          </w:p>
          <w:p w14:paraId="6EC25619" w14:textId="33E23782" w:rsidR="00906C9C" w:rsidRPr="00666D3E" w:rsidRDefault="00906C9C" w:rsidP="00666D3E">
            <w:pPr>
              <w:rPr>
                <w:rStyle w:val="A4"/>
                <w:rFonts w:ascii="Arial" w:hAnsi="Arial" w:cs="Arial"/>
                <w:color w:val="auto"/>
              </w:rPr>
            </w:pPr>
            <w:r w:rsidRPr="00906C9C">
              <w:rPr>
                <w:rFonts w:ascii="Arial" w:hAnsi="Arial" w:cs="Arial"/>
                <w:sz w:val="22"/>
                <w:szCs w:val="22"/>
              </w:rPr>
              <w:t xml:space="preserve">Amongst our cohort of adult patients with </w:t>
            </w:r>
            <w:r w:rsidR="000409C3">
              <w:rPr>
                <w:rFonts w:ascii="Arial" w:hAnsi="Arial" w:cs="Arial"/>
                <w:sz w:val="22"/>
                <w:szCs w:val="22"/>
              </w:rPr>
              <w:t>PF</w:t>
            </w:r>
            <w:r w:rsidRPr="00906C9C">
              <w:rPr>
                <w:rFonts w:ascii="Arial" w:hAnsi="Arial" w:cs="Arial"/>
                <w:sz w:val="22"/>
                <w:szCs w:val="22"/>
              </w:rPr>
              <w:t xml:space="preserve">, genetic mutations were frequently identified and were not uniquely seen amongst patients with a positive family history. Variants of uncertain significance were commonly identified, which require further assessment to determine pathogenicity. </w:t>
            </w:r>
            <w:r w:rsidRPr="00906C9C">
              <w:rPr>
                <w:rStyle w:val="A4"/>
                <w:rFonts w:ascii="Arial" w:hAnsi="Arial" w:cs="Arial"/>
                <w:bCs/>
              </w:rPr>
              <w:br/>
            </w:r>
          </w:p>
          <w:p w14:paraId="306DECBA" w14:textId="77777777" w:rsidR="00906C9C" w:rsidRPr="00906C9C" w:rsidRDefault="00906C9C" w:rsidP="00A534A6">
            <w:pPr>
              <w:pStyle w:val="Pa12"/>
              <w:rPr>
                <w:rStyle w:val="A4"/>
                <w:b/>
                <w:bCs/>
              </w:rPr>
            </w:pPr>
            <w:r w:rsidRPr="00906C9C">
              <w:rPr>
                <w:rStyle w:val="A4"/>
                <w:b/>
                <w:bCs/>
              </w:rPr>
              <w:t xml:space="preserve">Grant Support: </w:t>
            </w:r>
          </w:p>
          <w:p w14:paraId="041F67ED" w14:textId="22D4501A" w:rsidR="00906C9C" w:rsidRPr="00906C9C" w:rsidRDefault="00906C9C" w:rsidP="00A534A6">
            <w:pPr>
              <w:pStyle w:val="Default"/>
              <w:rPr>
                <w:sz w:val="22"/>
                <w:szCs w:val="22"/>
              </w:rPr>
            </w:pPr>
            <w:r w:rsidRPr="00906C9C">
              <w:rPr>
                <w:sz w:val="22"/>
                <w:szCs w:val="22"/>
              </w:rPr>
              <w:t>Nil</w:t>
            </w:r>
            <w:r>
              <w:rPr>
                <w:sz w:val="22"/>
                <w:szCs w:val="22"/>
              </w:rPr>
              <w:t>.</w:t>
            </w:r>
          </w:p>
          <w:p w14:paraId="4808747D" w14:textId="77777777" w:rsidR="004E47EE" w:rsidRDefault="004E47EE" w:rsidP="005E47E7">
            <w:pPr>
              <w:pStyle w:val="Pa12"/>
              <w:ind w:left="720" w:hanging="720"/>
              <w:rPr>
                <w:sz w:val="22"/>
                <w:szCs w:val="22"/>
              </w:rPr>
            </w:pPr>
          </w:p>
          <w:p w14:paraId="690ACCFE" w14:textId="7F5FED26" w:rsidR="00906C9C" w:rsidRPr="00906C9C" w:rsidRDefault="005E47E7" w:rsidP="00661E16">
            <w:pPr>
              <w:pStyle w:val="Pa12"/>
              <w:ind w:left="720" w:hanging="720"/>
              <w:rPr>
                <w:sz w:val="22"/>
                <w:szCs w:val="22"/>
              </w:rPr>
            </w:pPr>
            <w:r w:rsidRPr="009600A5">
              <w:rPr>
                <w:b/>
                <w:bCs/>
                <w:sz w:val="22"/>
                <w:szCs w:val="22"/>
              </w:rPr>
              <w:t>Key words:</w:t>
            </w:r>
            <w:r>
              <w:rPr>
                <w:sz w:val="22"/>
                <w:szCs w:val="22"/>
              </w:rPr>
              <w:t xml:space="preserve"> familial pulmonary fibrosis, </w:t>
            </w:r>
            <w:r w:rsidR="004E47EE">
              <w:rPr>
                <w:sz w:val="22"/>
                <w:szCs w:val="22"/>
              </w:rPr>
              <w:t>telomere, surfactant</w:t>
            </w:r>
            <w:r w:rsidR="00704593">
              <w:rPr>
                <w:sz w:val="22"/>
                <w:szCs w:val="22"/>
              </w:rPr>
              <w:t>, genetic</w:t>
            </w:r>
            <w:r w:rsidR="00876654">
              <w:rPr>
                <w:sz w:val="22"/>
                <w:szCs w:val="22"/>
              </w:rPr>
              <w:t>.</w:t>
            </w:r>
          </w:p>
          <w:p w14:paraId="5E672A27" w14:textId="77777777" w:rsidR="00906C9C" w:rsidRPr="00906C9C" w:rsidRDefault="00906C9C" w:rsidP="00A534A6">
            <w:pPr>
              <w:pStyle w:val="Default"/>
              <w:rPr>
                <w:sz w:val="22"/>
                <w:szCs w:val="22"/>
              </w:rPr>
            </w:pPr>
          </w:p>
          <w:p w14:paraId="36C8FA01" w14:textId="77777777" w:rsidR="00906C9C" w:rsidRPr="00906C9C" w:rsidRDefault="00906C9C" w:rsidP="00A534A6">
            <w:pPr>
              <w:pStyle w:val="Pa12"/>
              <w:rPr>
                <w:rStyle w:val="A4"/>
                <w:bCs/>
              </w:rPr>
            </w:pPr>
            <w:r w:rsidRPr="00906C9C">
              <w:rPr>
                <w:rStyle w:val="A4"/>
                <w:bCs/>
              </w:rPr>
              <w:br/>
            </w:r>
            <w:r w:rsidRPr="00906C9C">
              <w:rPr>
                <w:rStyle w:val="A4"/>
                <w:bCs/>
              </w:rPr>
              <w:br/>
            </w:r>
            <w:r w:rsidRPr="00906C9C">
              <w:rPr>
                <w:rStyle w:val="A4"/>
                <w:bCs/>
              </w:rPr>
              <w:br/>
            </w:r>
            <w:r w:rsidRPr="00906C9C">
              <w:rPr>
                <w:rStyle w:val="A4"/>
                <w:bCs/>
              </w:rPr>
              <w:br/>
            </w:r>
            <w:r w:rsidRPr="00906C9C">
              <w:rPr>
                <w:rStyle w:val="A4"/>
                <w:bCs/>
              </w:rPr>
              <w:br/>
            </w:r>
            <w:r w:rsidRPr="00906C9C">
              <w:rPr>
                <w:rStyle w:val="A4"/>
                <w:bCs/>
              </w:rPr>
              <w:br/>
            </w:r>
            <w:r w:rsidRPr="00906C9C">
              <w:rPr>
                <w:rStyle w:val="A4"/>
                <w:bCs/>
              </w:rPr>
              <w:br/>
            </w:r>
            <w:r w:rsidRPr="00906C9C">
              <w:rPr>
                <w:rStyle w:val="A4"/>
                <w:bCs/>
              </w:rPr>
              <w:br/>
            </w:r>
            <w:r w:rsidRPr="00906C9C">
              <w:rPr>
                <w:rStyle w:val="A4"/>
                <w:bCs/>
              </w:rPr>
              <w:br/>
            </w:r>
            <w:r w:rsidRPr="00906C9C">
              <w:rPr>
                <w:rStyle w:val="A4"/>
                <w:bCs/>
              </w:rPr>
              <w:br/>
            </w:r>
            <w:r w:rsidRPr="00906C9C">
              <w:rPr>
                <w:rStyle w:val="A4"/>
                <w:bCs/>
              </w:rPr>
              <w:br/>
            </w:r>
          </w:p>
          <w:p w14:paraId="572BB80D" w14:textId="77777777" w:rsidR="00906C9C" w:rsidRPr="00906C9C" w:rsidRDefault="00906C9C" w:rsidP="00A534A6">
            <w:pPr>
              <w:pStyle w:val="Default"/>
              <w:rPr>
                <w:rStyle w:val="A4"/>
                <w:bCs/>
              </w:rPr>
            </w:pPr>
          </w:p>
          <w:p w14:paraId="4340B3B3" w14:textId="77777777" w:rsidR="00906C9C" w:rsidRPr="00906C9C" w:rsidRDefault="00906C9C" w:rsidP="00A534A6">
            <w:pPr>
              <w:pStyle w:val="Default"/>
              <w:rPr>
                <w:sz w:val="22"/>
                <w:szCs w:val="22"/>
                <w:lang w:val="en-US" w:eastAsia="en-GB"/>
              </w:rPr>
            </w:pP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r w:rsidRPr="00906C9C">
              <w:rPr>
                <w:sz w:val="22"/>
                <w:szCs w:val="22"/>
                <w:lang w:val="en-US" w:eastAsia="en-GB"/>
              </w:rPr>
              <w:br/>
            </w:r>
          </w:p>
        </w:tc>
      </w:tr>
    </w:tbl>
    <w:p w14:paraId="78139FD9" w14:textId="77777777" w:rsidR="00906C9C" w:rsidRPr="00906C9C" w:rsidRDefault="00906C9C" w:rsidP="00906C9C">
      <w:pPr>
        <w:rPr>
          <w:rFonts w:ascii="Arial" w:hAnsi="Arial" w:cs="Arial"/>
          <w:sz w:val="22"/>
          <w:szCs w:val="22"/>
        </w:rPr>
      </w:pPr>
    </w:p>
    <w:p w14:paraId="4A0211E2" w14:textId="77777777" w:rsidR="00906C9C" w:rsidRPr="00906C9C" w:rsidRDefault="00906C9C" w:rsidP="00906C9C">
      <w:pPr>
        <w:rPr>
          <w:rFonts w:ascii="Arial" w:hAnsi="Arial" w:cs="Arial"/>
          <w:sz w:val="22"/>
          <w:szCs w:val="22"/>
        </w:rPr>
      </w:pPr>
    </w:p>
    <w:sectPr w:rsidR="00906C9C" w:rsidRPr="00906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87"/>
    <w:rsid w:val="000104C8"/>
    <w:rsid w:val="0001572A"/>
    <w:rsid w:val="000216F6"/>
    <w:rsid w:val="000409C3"/>
    <w:rsid w:val="000B15B0"/>
    <w:rsid w:val="000B765B"/>
    <w:rsid w:val="000E2A51"/>
    <w:rsid w:val="000E751B"/>
    <w:rsid w:val="00101655"/>
    <w:rsid w:val="00126C1C"/>
    <w:rsid w:val="00126E25"/>
    <w:rsid w:val="0015512E"/>
    <w:rsid w:val="0018549C"/>
    <w:rsid w:val="001B3087"/>
    <w:rsid w:val="001E57E7"/>
    <w:rsid w:val="00213128"/>
    <w:rsid w:val="00226985"/>
    <w:rsid w:val="002A2C44"/>
    <w:rsid w:val="00327A17"/>
    <w:rsid w:val="00335D06"/>
    <w:rsid w:val="00346B77"/>
    <w:rsid w:val="0036262F"/>
    <w:rsid w:val="003971BE"/>
    <w:rsid w:val="003A1C59"/>
    <w:rsid w:val="003B7828"/>
    <w:rsid w:val="003E5295"/>
    <w:rsid w:val="0048309F"/>
    <w:rsid w:val="00487323"/>
    <w:rsid w:val="00490A31"/>
    <w:rsid w:val="004E47EE"/>
    <w:rsid w:val="004F43CE"/>
    <w:rsid w:val="005146D7"/>
    <w:rsid w:val="0052565F"/>
    <w:rsid w:val="005B301A"/>
    <w:rsid w:val="005D7719"/>
    <w:rsid w:val="005E375E"/>
    <w:rsid w:val="005E47E7"/>
    <w:rsid w:val="00613FAD"/>
    <w:rsid w:val="006457E5"/>
    <w:rsid w:val="00661E16"/>
    <w:rsid w:val="00666D3E"/>
    <w:rsid w:val="00692938"/>
    <w:rsid w:val="006A769E"/>
    <w:rsid w:val="006C2EFE"/>
    <w:rsid w:val="00704593"/>
    <w:rsid w:val="00716DE9"/>
    <w:rsid w:val="00740142"/>
    <w:rsid w:val="0079065D"/>
    <w:rsid w:val="00795374"/>
    <w:rsid w:val="007B5503"/>
    <w:rsid w:val="007E6A82"/>
    <w:rsid w:val="00827843"/>
    <w:rsid w:val="0083160E"/>
    <w:rsid w:val="0084584C"/>
    <w:rsid w:val="00856CD9"/>
    <w:rsid w:val="00876654"/>
    <w:rsid w:val="00906C9C"/>
    <w:rsid w:val="00907154"/>
    <w:rsid w:val="00956CA2"/>
    <w:rsid w:val="009600A5"/>
    <w:rsid w:val="00964DE0"/>
    <w:rsid w:val="00975D8D"/>
    <w:rsid w:val="009F3B6A"/>
    <w:rsid w:val="00A31CF9"/>
    <w:rsid w:val="00A450A5"/>
    <w:rsid w:val="00A601C9"/>
    <w:rsid w:val="00A8055B"/>
    <w:rsid w:val="00AC1B3C"/>
    <w:rsid w:val="00AC3F87"/>
    <w:rsid w:val="00AE6EC5"/>
    <w:rsid w:val="00B40975"/>
    <w:rsid w:val="00B502EE"/>
    <w:rsid w:val="00B561C1"/>
    <w:rsid w:val="00B75AAA"/>
    <w:rsid w:val="00BA0236"/>
    <w:rsid w:val="00C00E46"/>
    <w:rsid w:val="00C3751E"/>
    <w:rsid w:val="00C4399C"/>
    <w:rsid w:val="00C46723"/>
    <w:rsid w:val="00C52E60"/>
    <w:rsid w:val="00C72EC6"/>
    <w:rsid w:val="00CA4A6E"/>
    <w:rsid w:val="00CE321A"/>
    <w:rsid w:val="00CF3383"/>
    <w:rsid w:val="00E34E20"/>
    <w:rsid w:val="00E876E8"/>
    <w:rsid w:val="00EA39AF"/>
    <w:rsid w:val="00F12EEF"/>
    <w:rsid w:val="00F20367"/>
    <w:rsid w:val="00F2393D"/>
    <w:rsid w:val="00FA16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41469"/>
  <w15:chartTrackingRefBased/>
  <w15:docId w15:val="{A6BA8929-C63C-504B-B8EF-681C94EA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F87"/>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6C9C"/>
    <w:pPr>
      <w:autoSpaceDE w:val="0"/>
      <w:autoSpaceDN w:val="0"/>
      <w:adjustRightInd w:val="0"/>
    </w:pPr>
    <w:rPr>
      <w:rFonts w:ascii="Arial" w:eastAsia="Times New Roman" w:hAnsi="Arial" w:cs="Arial"/>
      <w:color w:val="000000"/>
      <w:kern w:val="0"/>
      <w:lang w:val="en-NZ" w:eastAsia="en-NZ"/>
      <w14:ligatures w14:val="none"/>
    </w:rPr>
  </w:style>
  <w:style w:type="character" w:customStyle="1" w:styleId="A4">
    <w:name w:val="A4"/>
    <w:uiPriority w:val="99"/>
    <w:rsid w:val="00906C9C"/>
    <w:rPr>
      <w:color w:val="000000"/>
      <w:sz w:val="22"/>
      <w:szCs w:val="22"/>
    </w:rPr>
  </w:style>
  <w:style w:type="paragraph" w:customStyle="1" w:styleId="Pa12">
    <w:name w:val="Pa12"/>
    <w:basedOn w:val="Default"/>
    <w:next w:val="Default"/>
    <w:uiPriority w:val="99"/>
    <w:rsid w:val="00906C9C"/>
    <w:pPr>
      <w:spacing w:line="241" w:lineRule="atLeast"/>
    </w:pPr>
    <w:rPr>
      <w:color w:val="auto"/>
    </w:rPr>
  </w:style>
  <w:style w:type="character" w:styleId="Strong">
    <w:name w:val="Strong"/>
    <w:basedOn w:val="DefaultParagraphFont"/>
    <w:uiPriority w:val="22"/>
    <w:qFormat/>
    <w:rsid w:val="005E47E7"/>
    <w:rPr>
      <w:b/>
      <w:bCs/>
    </w:rPr>
  </w:style>
  <w:style w:type="character" w:styleId="PlaceholderText">
    <w:name w:val="Placeholder Text"/>
    <w:basedOn w:val="DefaultParagraphFont"/>
    <w:uiPriority w:val="99"/>
    <w:semiHidden/>
    <w:rsid w:val="007E6A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4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A38CF3-A722-48B1-9E93-E193DC9C9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6C134-F54A-4A44-8778-B814F84C55F0}">
  <ds:schemaRefs>
    <ds:schemaRef ds:uri="http://schemas.microsoft.com/sharepoint/v3/contenttype/forms"/>
  </ds:schemaRefs>
</ds:datastoreItem>
</file>

<file path=customXml/itemProps3.xml><?xml version="1.0" encoding="utf-8"?>
<ds:datastoreItem xmlns:ds="http://schemas.openxmlformats.org/officeDocument/2006/customXml" ds:itemID="{B1537A4C-7A68-401C-B475-3D5780FDF259}">
  <ds:schemaRefs>
    <ds:schemaRef ds:uri="http://schemas.microsoft.com/office/infopath/2007/PartnerControls"/>
    <ds:schemaRef ds:uri="cab52c9b-ab33-4221-8af9-54f8f2b86a80"/>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9c8a2b7b-0bee-4c48-b0a6-23db8982d3bc"/>
    <ds:schemaRef ds:uri="6911e96c-4cc4-42d5-8e43-f93924cf6a0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Dixon</dc:creator>
  <cp:keywords/>
  <dc:description/>
  <cp:lastModifiedBy>Leah McLeod</cp:lastModifiedBy>
  <cp:revision>2</cp:revision>
  <dcterms:created xsi:type="dcterms:W3CDTF">2023-10-05T22:33:00Z</dcterms:created>
  <dcterms:modified xsi:type="dcterms:W3CDTF">2023-10-05T22:33:00Z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