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86216" w14:textId="77777777" w:rsidR="009C1AF5" w:rsidRDefault="009C1AF5" w:rsidP="002134C3">
      <w:pPr>
        <w:spacing w:line="360" w:lineRule="auto"/>
        <w:jc w:val="both"/>
        <w:rPr>
          <w:rFonts w:ascii="Arial" w:hAnsi="Arial" w:cs="Arial"/>
          <w:b/>
        </w:rPr>
      </w:pPr>
    </w:p>
    <w:p w14:paraId="39F0DDC8" w14:textId="77777777" w:rsidR="009C1AF5" w:rsidRDefault="009C1AF5" w:rsidP="002134C3">
      <w:pPr>
        <w:spacing w:line="360" w:lineRule="auto"/>
        <w:jc w:val="both"/>
        <w:rPr>
          <w:rFonts w:ascii="Arial" w:hAnsi="Arial" w:cs="Arial"/>
          <w:b/>
        </w:rPr>
      </w:pPr>
    </w:p>
    <w:p w14:paraId="3B07CACA" w14:textId="5327D3B0" w:rsidR="002134C3" w:rsidRPr="009C1AF5" w:rsidRDefault="002134C3" w:rsidP="009C1AF5">
      <w:pPr>
        <w:rPr>
          <w:rFonts w:ascii="Arial" w:hAnsi="Arial" w:cs="Arial"/>
          <w:b/>
          <w:vertAlign w:val="subscript"/>
        </w:rPr>
      </w:pPr>
      <w:r w:rsidRPr="009C1AF5">
        <w:rPr>
          <w:rFonts w:ascii="Arial" w:hAnsi="Arial" w:cs="Arial"/>
          <w:b/>
        </w:rPr>
        <w:t>Time in Tight Range Provides Added Value for Predicting Incident Diabetic Retinopathy in Type 2 Diabetes with Well-Controlled Time in Range</w:t>
      </w:r>
    </w:p>
    <w:p w14:paraId="6A91FA94" w14:textId="77777777" w:rsidR="008427FA" w:rsidRPr="009C1AF5" w:rsidRDefault="008427FA" w:rsidP="009C1AF5">
      <w:pPr>
        <w:rPr>
          <w:rFonts w:ascii="Arial" w:hAnsi="Arial" w:cs="Arial"/>
        </w:rPr>
      </w:pPr>
    </w:p>
    <w:p w14:paraId="493840F1" w14:textId="77777777" w:rsidR="002134C3" w:rsidRPr="009C1AF5" w:rsidRDefault="002134C3" w:rsidP="009C1AF5">
      <w:pPr>
        <w:rPr>
          <w:rFonts w:ascii="Arial" w:hAnsi="Arial" w:cs="Arial"/>
        </w:rPr>
      </w:pPr>
      <w:r w:rsidRPr="009C1AF5">
        <w:rPr>
          <w:rFonts w:ascii="Arial" w:hAnsi="Arial" w:cs="Arial"/>
          <w:b/>
          <w:bCs/>
        </w:rPr>
        <w:t>Aim/s</w:t>
      </w:r>
      <w:r w:rsidRPr="009C1AF5">
        <w:rPr>
          <w:rFonts w:ascii="Arial" w:hAnsi="Arial" w:cs="Arial"/>
        </w:rPr>
        <w:t xml:space="preserve">: Time spent in the glucose range of 70-180mg/dL (TIR) has become entrenched as a key measure of </w:t>
      </w:r>
      <w:proofErr w:type="spellStart"/>
      <w:r w:rsidRPr="009C1AF5">
        <w:rPr>
          <w:rFonts w:ascii="Arial" w:hAnsi="Arial" w:cs="Arial"/>
        </w:rPr>
        <w:t>glycemic</w:t>
      </w:r>
      <w:proofErr w:type="spellEnd"/>
      <w:r w:rsidRPr="009C1AF5">
        <w:rPr>
          <w:rFonts w:ascii="Arial" w:hAnsi="Arial" w:cs="Arial"/>
        </w:rPr>
        <w:t xml:space="preserve"> control, which was linked to diabetes-related outcomes in previous studies. However, there has been a recent debate about whether to instead emphasize time in target range of 70-140 mg/dL (time in tight range, TITR). We aimed to assess the association between TITR and incident diabetic retinopathy in adults with type 2 diabetes.</w:t>
      </w:r>
    </w:p>
    <w:p w14:paraId="7FA2065B" w14:textId="0E204AF3" w:rsidR="002134C3" w:rsidRPr="009C1AF5" w:rsidRDefault="002134C3" w:rsidP="009C1AF5">
      <w:pPr>
        <w:rPr>
          <w:rFonts w:ascii="Arial" w:hAnsi="Arial" w:cs="Arial"/>
        </w:rPr>
      </w:pPr>
    </w:p>
    <w:p w14:paraId="7419C31B" w14:textId="77777777" w:rsidR="002134C3" w:rsidRPr="009C1AF5" w:rsidRDefault="002134C3" w:rsidP="009C1AF5">
      <w:pPr>
        <w:rPr>
          <w:rFonts w:ascii="Arial" w:hAnsi="Arial" w:cs="Arial"/>
        </w:rPr>
      </w:pPr>
      <w:r w:rsidRPr="009C1AF5">
        <w:rPr>
          <w:rFonts w:ascii="Arial" w:hAnsi="Arial" w:cs="Arial"/>
          <w:b/>
          <w:bCs/>
        </w:rPr>
        <w:t>Methods:</w:t>
      </w:r>
      <w:r w:rsidRPr="009C1AF5">
        <w:rPr>
          <w:rFonts w:ascii="Arial" w:hAnsi="Arial" w:cs="Arial"/>
        </w:rPr>
        <w:t xml:space="preserve"> This is a dynamic cohort study conducted in a tertiary hospital. A total of 2,518 adults with type 2 diabetes without diabetic retinopathy at baseline were included. TITR was obtained from continuous glucose monitoring data at baseline. Cox proportion hazard regression analysis was performed to assess the relationships of TITR, TIR with the risk of incident diabetic retinopathy.</w:t>
      </w:r>
    </w:p>
    <w:p w14:paraId="12FE8D5A" w14:textId="1B5EE317" w:rsidR="002134C3" w:rsidRPr="009C1AF5" w:rsidRDefault="002134C3" w:rsidP="009C1AF5">
      <w:pPr>
        <w:rPr>
          <w:rFonts w:ascii="Arial" w:hAnsi="Arial" w:cs="Arial"/>
        </w:rPr>
      </w:pPr>
    </w:p>
    <w:p w14:paraId="3A5A95B0" w14:textId="77777777" w:rsidR="002134C3" w:rsidRPr="009C1AF5" w:rsidRDefault="002134C3" w:rsidP="009C1AF5">
      <w:pPr>
        <w:rPr>
          <w:rFonts w:ascii="Arial" w:hAnsi="Arial" w:cs="Arial"/>
        </w:rPr>
      </w:pPr>
      <w:r w:rsidRPr="009C1AF5">
        <w:rPr>
          <w:rFonts w:ascii="Arial" w:hAnsi="Arial" w:cs="Arial"/>
          <w:b/>
          <w:bCs/>
        </w:rPr>
        <w:t>Results:</w:t>
      </w:r>
      <w:r w:rsidRPr="009C1AF5">
        <w:rPr>
          <w:rFonts w:ascii="Arial" w:hAnsi="Arial" w:cs="Arial"/>
        </w:rPr>
        <w:t xml:space="preserve"> During a mean follow-up of 5.43 years, 646 patients developed retinopathy. The multivariable-adjusted hazard ratios (HRs) for incident retinopathy across descending TITR quartiles (Q4: &gt;58% [reference], Q3: 38~57%, Q2: 19~37% and Q1: &lt;19%) were 1.00, 1.47 (95%CI 1.16, 1.86), 1.53 (95%CI 1.21, 1.94) and 1.96 (95%CI 1.55, 2.47), respectively. For per 10% decrease in TITR, the risk of diabetic retinopathy was increased by 9% (HR=1.09, 95%CI 1.06, 1.13) after full adjustment for covariates. In the TIR&gt;70% subgroup, the significant association between TIR, as a continuous variable, and the risk of incident retinopathy disappeared, whereas TITR remains significantly associated with the outcome. Similar results were observed in the TIR&gt;80% and TIR&gt; 90% subgroups.</w:t>
      </w:r>
    </w:p>
    <w:p w14:paraId="24C2E15F" w14:textId="402D63B1" w:rsidR="002134C3" w:rsidRPr="009C1AF5" w:rsidRDefault="002134C3" w:rsidP="009C1AF5">
      <w:pPr>
        <w:rPr>
          <w:rFonts w:ascii="Arial" w:hAnsi="Arial" w:cs="Arial"/>
        </w:rPr>
      </w:pPr>
    </w:p>
    <w:p w14:paraId="7D46DD6C" w14:textId="3E0AE80F" w:rsidR="008427FA" w:rsidRPr="009C1AF5" w:rsidRDefault="002134C3" w:rsidP="009C1AF5">
      <w:pPr>
        <w:rPr>
          <w:rFonts w:ascii="Arial" w:hAnsi="Arial" w:cs="Arial"/>
        </w:rPr>
      </w:pPr>
      <w:r w:rsidRPr="009C1AF5">
        <w:rPr>
          <w:rFonts w:ascii="Arial" w:hAnsi="Arial" w:cs="Arial"/>
          <w:b/>
          <w:bCs/>
        </w:rPr>
        <w:t>Conclusion:</w:t>
      </w:r>
      <w:r w:rsidRPr="009C1AF5">
        <w:rPr>
          <w:rFonts w:ascii="Arial" w:hAnsi="Arial" w:cs="Arial"/>
        </w:rPr>
        <w:t xml:space="preserve"> TITR is inversely associated with the incidence of diabetic retinopathy in people with type 2 diabetes. Among people with well-controlled TIR (70% or higher), TITR may provide added value regarding glucose control.</w:t>
      </w:r>
    </w:p>
    <w:p w14:paraId="484FA34F" w14:textId="77777777" w:rsidR="00830A4D" w:rsidRPr="009C1AF5" w:rsidRDefault="00830A4D" w:rsidP="009C1AF5">
      <w:pPr>
        <w:rPr>
          <w:rFonts w:ascii="Arial" w:hAnsi="Arial" w:cs="Arial"/>
        </w:rPr>
      </w:pPr>
    </w:p>
    <w:sectPr w:rsidR="00830A4D" w:rsidRPr="009C1A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202E8E"/>
    <w:rsid w:val="002134C3"/>
    <w:rsid w:val="0028124D"/>
    <w:rsid w:val="00376B39"/>
    <w:rsid w:val="004E09DD"/>
    <w:rsid w:val="007244F0"/>
    <w:rsid w:val="007452F1"/>
    <w:rsid w:val="00830A4D"/>
    <w:rsid w:val="008427FA"/>
    <w:rsid w:val="008953CF"/>
    <w:rsid w:val="009A34E6"/>
    <w:rsid w:val="009A582D"/>
    <w:rsid w:val="009C1AF5"/>
    <w:rsid w:val="009D79DB"/>
    <w:rsid w:val="00A85759"/>
    <w:rsid w:val="00BC73E4"/>
    <w:rsid w:val="00D56368"/>
    <w:rsid w:val="00DD0D64"/>
    <w:rsid w:val="00F8500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EastAsia"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2.xml><?xml version="1.0" encoding="utf-8"?>
<ds:datastoreItem xmlns:ds="http://schemas.openxmlformats.org/officeDocument/2006/customXml" ds:itemID="{F8482F3B-EC11-4B27-BFA3-743B9325E3AA}"/>
</file>

<file path=customXml/itemProps3.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Tanya Yandall</cp:lastModifiedBy>
  <cp:revision>3</cp:revision>
  <dcterms:created xsi:type="dcterms:W3CDTF">2026-02-17T20:01:00Z</dcterms:created>
  <dcterms:modified xsi:type="dcterms:W3CDTF">2026-02-17T20:01:00Z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