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C638B" w14:paraId="5C38377B" w14:textId="77777777" w:rsidTr="000A28E2">
        <w:trPr>
          <w:jc w:val="center"/>
        </w:trPr>
        <w:tc>
          <w:tcPr>
            <w:tcW w:w="8640" w:type="dxa"/>
            <w:shd w:val="clear" w:color="auto" w:fill="auto"/>
          </w:tcPr>
          <w:p w14:paraId="5C44F357" w14:textId="15B16F26" w:rsidR="001564A4" w:rsidRPr="005C638B" w:rsidRDefault="00420305" w:rsidP="003E6A15">
            <w:pPr>
              <w:jc w:val="center"/>
              <w:rPr>
                <w:rFonts w:ascii="Arial" w:hAnsi="Arial" w:cs="Arial"/>
                <w:b/>
                <w:bCs/>
                <w:sz w:val="22"/>
                <w:szCs w:val="22"/>
              </w:rPr>
            </w:pPr>
            <w:r w:rsidRPr="00420305">
              <w:rPr>
                <w:rFonts w:ascii="Arial" w:hAnsi="Arial" w:cs="Arial"/>
                <w:b/>
                <w:bCs/>
                <w:sz w:val="22"/>
                <w:szCs w:val="22"/>
              </w:rPr>
              <w:t>Nationwide airborne laser scanning based models for leaf area index mapping in Finland</w:t>
            </w:r>
          </w:p>
        </w:tc>
      </w:tr>
      <w:tr w:rsidR="001564A4" w:rsidRPr="005C638B" w14:paraId="6DAF615A" w14:textId="77777777" w:rsidTr="00F25464">
        <w:trPr>
          <w:trHeight w:hRule="exact" w:val="11684"/>
          <w:jc w:val="center"/>
        </w:trPr>
        <w:tc>
          <w:tcPr>
            <w:tcW w:w="8640" w:type="dxa"/>
            <w:shd w:val="clear" w:color="auto" w:fill="auto"/>
          </w:tcPr>
          <w:p w14:paraId="639C0005" w14:textId="77777777" w:rsidR="001F0AC4" w:rsidRPr="00757187" w:rsidRDefault="001F0AC4" w:rsidP="005C638B">
            <w:pPr>
              <w:pStyle w:val="Pa12"/>
              <w:rPr>
                <w:rStyle w:val="A4"/>
                <w:b/>
                <w:bCs/>
                <w:lang w:val="en-GB"/>
              </w:rPr>
            </w:pPr>
          </w:p>
          <w:p w14:paraId="739E7937" w14:textId="669B01AC" w:rsidR="001564A4" w:rsidRPr="00757187" w:rsidRDefault="001564A4" w:rsidP="005C638B">
            <w:pPr>
              <w:pStyle w:val="Pa12"/>
              <w:rPr>
                <w:rStyle w:val="A4"/>
                <w:lang w:val="en-GB"/>
              </w:rPr>
            </w:pPr>
            <w:r w:rsidRPr="00757187">
              <w:rPr>
                <w:rStyle w:val="A4"/>
                <w:b/>
                <w:bCs/>
                <w:lang w:val="en-GB"/>
              </w:rPr>
              <w:t xml:space="preserve">Introduction/Aim: </w:t>
            </w:r>
          </w:p>
          <w:p w14:paraId="219D1597" w14:textId="7C6DCEAD" w:rsidR="001564A4" w:rsidRPr="00757187" w:rsidRDefault="007A08A2" w:rsidP="005C638B">
            <w:pPr>
              <w:rPr>
                <w:rFonts w:ascii="Arial" w:hAnsi="Arial" w:cs="Arial"/>
                <w:sz w:val="22"/>
                <w:szCs w:val="22"/>
              </w:rPr>
            </w:pPr>
            <w:r w:rsidRPr="00757187">
              <w:rPr>
                <w:rFonts w:ascii="Arial" w:hAnsi="Arial" w:cs="Arial"/>
                <w:sz w:val="22"/>
                <w:szCs w:val="22"/>
              </w:rPr>
              <w:t xml:space="preserve">Leaf area index (LAI) is an important parameter that describes the characteristics of forest ecosystems. It measures the amount of leaf material present in the canopy and is often used as an input in various biosphere-atmosphere models that describe mass and energy exchange processes (Ryu et al., 2011). In many countries, airborne laser scanning is routinely used to estimate forest attributes on national scale following an area-based approach (Maltamo et al., 2021). This technology has been successfully applied for the estimation of LAI as well (Solberg et al., 2009). Nevertheless, nationwide </w:t>
            </w:r>
            <w:r w:rsidR="005673D0" w:rsidRPr="00757187">
              <w:rPr>
                <w:rFonts w:ascii="Arial" w:hAnsi="Arial" w:cs="Arial"/>
                <w:sz w:val="22"/>
                <w:szCs w:val="22"/>
              </w:rPr>
              <w:t>LAI</w:t>
            </w:r>
            <w:r w:rsidRPr="00757187">
              <w:rPr>
                <w:rFonts w:ascii="Arial" w:hAnsi="Arial" w:cs="Arial"/>
                <w:sz w:val="22"/>
                <w:szCs w:val="22"/>
              </w:rPr>
              <w:t xml:space="preserve"> maps are still absent, although they could be constructed based on nationwide ALS data acquisitions. This study aimed to assess the comparability of national and regional LAI regression models using ALS data.</w:t>
            </w:r>
          </w:p>
          <w:p w14:paraId="3D770CF7" w14:textId="77777777" w:rsidR="001564A4" w:rsidRPr="00757187" w:rsidRDefault="001564A4" w:rsidP="005C638B">
            <w:pPr>
              <w:pStyle w:val="Pa12"/>
              <w:rPr>
                <w:rStyle w:val="A4"/>
                <w:bCs/>
                <w:lang w:val="en-GB"/>
              </w:rPr>
            </w:pPr>
          </w:p>
          <w:p w14:paraId="1B39336E" w14:textId="77777777" w:rsidR="001564A4" w:rsidRPr="00757187" w:rsidRDefault="001564A4" w:rsidP="005C638B">
            <w:pPr>
              <w:pStyle w:val="Pa12"/>
              <w:rPr>
                <w:rStyle w:val="A4"/>
                <w:b/>
                <w:bCs/>
                <w:lang w:val="en-GB"/>
              </w:rPr>
            </w:pPr>
            <w:r w:rsidRPr="00757187">
              <w:rPr>
                <w:rStyle w:val="A4"/>
                <w:b/>
                <w:bCs/>
                <w:lang w:val="en-GB"/>
              </w:rPr>
              <w:t xml:space="preserve">Methods: </w:t>
            </w:r>
          </w:p>
          <w:p w14:paraId="5029BAE6" w14:textId="33573515" w:rsidR="001564A4" w:rsidRPr="00757187" w:rsidRDefault="007A08A2" w:rsidP="0051178E">
            <w:pPr>
              <w:pStyle w:val="Pa12"/>
              <w:rPr>
                <w:sz w:val="22"/>
                <w:szCs w:val="22"/>
                <w:lang w:val="en-GB" w:eastAsia="en-US"/>
              </w:rPr>
            </w:pPr>
            <w:r w:rsidRPr="00757187">
              <w:rPr>
                <w:sz w:val="22"/>
                <w:szCs w:val="22"/>
                <w:lang w:val="en-GB" w:eastAsia="en-US"/>
              </w:rPr>
              <w:t xml:space="preserve">We collected </w:t>
            </w:r>
            <w:r w:rsidR="003E6A15" w:rsidRPr="00757187">
              <w:rPr>
                <w:sz w:val="22"/>
                <w:szCs w:val="22"/>
                <w:lang w:val="en-GB" w:eastAsia="en-US"/>
              </w:rPr>
              <w:t xml:space="preserve">digital hemispherical photographs as field reference data from 178 plots </w:t>
            </w:r>
            <w:r w:rsidRPr="00757187">
              <w:rPr>
                <w:sz w:val="22"/>
                <w:szCs w:val="22"/>
                <w:lang w:val="en-GB" w:eastAsia="en-US"/>
              </w:rPr>
              <w:t>across five regions in Finland.</w:t>
            </w:r>
            <w:r w:rsidR="00365800" w:rsidRPr="00757187">
              <w:rPr>
                <w:sz w:val="22"/>
                <w:szCs w:val="22"/>
                <w:lang w:val="en-GB" w:eastAsia="en-US"/>
              </w:rPr>
              <w:t xml:space="preserve"> Effective LAI was </w:t>
            </w:r>
            <w:r w:rsidR="00FB0C84">
              <w:rPr>
                <w:sz w:val="22"/>
                <w:szCs w:val="22"/>
                <w:lang w:val="en-GB" w:eastAsia="en-US"/>
              </w:rPr>
              <w:t>estimated from the photographs based on the Beer-Lambert law</w:t>
            </w:r>
            <w:r w:rsidR="00365800" w:rsidRPr="00757187">
              <w:rPr>
                <w:sz w:val="22"/>
                <w:szCs w:val="22"/>
                <w:lang w:val="en-GB" w:eastAsia="en-US"/>
              </w:rPr>
              <w:t xml:space="preserve">. We </w:t>
            </w:r>
            <w:r w:rsidR="003B3541" w:rsidRPr="00757187">
              <w:rPr>
                <w:sz w:val="22"/>
                <w:szCs w:val="22"/>
                <w:lang w:val="en-GB" w:eastAsia="en-US"/>
              </w:rPr>
              <w:t>fitted</w:t>
            </w:r>
            <w:r w:rsidR="00365800" w:rsidRPr="00757187">
              <w:rPr>
                <w:sz w:val="22"/>
                <w:szCs w:val="22"/>
                <w:lang w:val="en-GB" w:eastAsia="en-US"/>
              </w:rPr>
              <w:t xml:space="preserve"> nationwide and regional models</w:t>
            </w:r>
            <w:r w:rsidR="003B3541" w:rsidRPr="00757187">
              <w:rPr>
                <w:sz w:val="22"/>
                <w:szCs w:val="22"/>
                <w:lang w:val="en-GB" w:eastAsia="en-US"/>
              </w:rPr>
              <w:t xml:space="preserve"> using Ordinary Least Squares regression </w:t>
            </w:r>
            <w:r w:rsidR="00365800" w:rsidRPr="00757187">
              <w:rPr>
                <w:sz w:val="22"/>
                <w:szCs w:val="22"/>
                <w:lang w:val="en-GB" w:eastAsia="en-US"/>
              </w:rPr>
              <w:t>with two ALS-based predictors. All possible predictor combinations were tested and the one</w:t>
            </w:r>
            <w:r w:rsidR="00EF2005">
              <w:rPr>
                <w:sz w:val="22"/>
                <w:szCs w:val="22"/>
                <w:lang w:val="en-GB" w:eastAsia="en-US"/>
              </w:rPr>
              <w:t>s</w:t>
            </w:r>
            <w:r w:rsidR="00365800" w:rsidRPr="00757187">
              <w:rPr>
                <w:sz w:val="22"/>
                <w:szCs w:val="22"/>
                <w:lang w:val="en-GB" w:eastAsia="en-US"/>
              </w:rPr>
              <w:t xml:space="preserve"> that yielded the smallest relative root mean square error (RMSE%) w</w:t>
            </w:r>
            <w:r w:rsidR="0051178E">
              <w:rPr>
                <w:sz w:val="22"/>
                <w:szCs w:val="22"/>
                <w:lang w:val="en-GB" w:eastAsia="en-US"/>
              </w:rPr>
              <w:t>ere</w:t>
            </w:r>
            <w:r w:rsidR="00365800" w:rsidRPr="00757187">
              <w:rPr>
                <w:sz w:val="22"/>
                <w:szCs w:val="22"/>
                <w:lang w:val="en-GB" w:eastAsia="en-US"/>
              </w:rPr>
              <w:t xml:space="preserve"> selected.</w:t>
            </w:r>
            <w:r w:rsidR="009D65DC" w:rsidRPr="00757187">
              <w:rPr>
                <w:sz w:val="22"/>
                <w:szCs w:val="22"/>
                <w:lang w:val="en-GB" w:eastAsia="en-US"/>
              </w:rPr>
              <w:t xml:space="preserve"> </w:t>
            </w:r>
            <w:r w:rsidR="00987BF8">
              <w:rPr>
                <w:sz w:val="22"/>
                <w:szCs w:val="22"/>
                <w:lang w:val="en-GB" w:eastAsia="en-US"/>
              </w:rPr>
              <w:t>The nationwide model was validated using l</w:t>
            </w:r>
            <w:r w:rsidR="00987BF8" w:rsidRPr="00757187">
              <w:rPr>
                <w:sz w:val="22"/>
                <w:szCs w:val="22"/>
                <w:lang w:val="en-GB" w:eastAsia="en-US"/>
              </w:rPr>
              <w:t>eav</w:t>
            </w:r>
            <w:r w:rsidR="00987BF8">
              <w:rPr>
                <w:sz w:val="22"/>
                <w:szCs w:val="22"/>
                <w:lang w:val="en-GB" w:eastAsia="en-US"/>
              </w:rPr>
              <w:t>e-one-</w:t>
            </w:r>
            <w:r w:rsidR="00987BF8" w:rsidRPr="00757187">
              <w:rPr>
                <w:sz w:val="22"/>
                <w:szCs w:val="22"/>
                <w:lang w:val="en-GB" w:eastAsia="en-US"/>
              </w:rPr>
              <w:t>region</w:t>
            </w:r>
            <w:r w:rsidR="00987BF8">
              <w:rPr>
                <w:sz w:val="22"/>
                <w:szCs w:val="22"/>
                <w:lang w:val="en-GB" w:eastAsia="en-US"/>
              </w:rPr>
              <w:t>-out and t</w:t>
            </w:r>
            <w:r w:rsidR="009D65DC" w:rsidRPr="00757187">
              <w:rPr>
                <w:sz w:val="22"/>
                <w:szCs w:val="22"/>
                <w:lang w:val="en-GB" w:eastAsia="en-US"/>
              </w:rPr>
              <w:t>he regional models using leave-</w:t>
            </w:r>
            <w:r w:rsidR="00F441E1">
              <w:rPr>
                <w:sz w:val="22"/>
                <w:szCs w:val="22"/>
                <w:lang w:val="en-GB" w:eastAsia="en-US"/>
              </w:rPr>
              <w:t>one-plot</w:t>
            </w:r>
            <w:r w:rsidR="009D65DC" w:rsidRPr="00757187">
              <w:rPr>
                <w:sz w:val="22"/>
                <w:szCs w:val="22"/>
                <w:lang w:val="en-GB" w:eastAsia="en-US"/>
              </w:rPr>
              <w:t xml:space="preserve">-out </w:t>
            </w:r>
            <w:r w:rsidR="00F441E1">
              <w:rPr>
                <w:sz w:val="22"/>
                <w:szCs w:val="22"/>
                <w:lang w:val="en-GB" w:eastAsia="en-US"/>
              </w:rPr>
              <w:t>cross</w:t>
            </w:r>
            <w:r w:rsidR="00987BF8">
              <w:rPr>
                <w:sz w:val="22"/>
                <w:szCs w:val="22"/>
                <w:lang w:val="en-GB" w:eastAsia="en-US"/>
              </w:rPr>
              <w:t>-</w:t>
            </w:r>
            <w:r w:rsidR="00F441E1">
              <w:rPr>
                <w:sz w:val="22"/>
                <w:szCs w:val="22"/>
                <w:lang w:val="en-GB" w:eastAsia="en-US"/>
              </w:rPr>
              <w:t>validation</w:t>
            </w:r>
            <w:r w:rsidR="0051178E">
              <w:rPr>
                <w:sz w:val="22"/>
                <w:szCs w:val="22"/>
                <w:lang w:val="en-GB" w:eastAsia="en-US"/>
              </w:rPr>
              <w:t>.</w:t>
            </w:r>
          </w:p>
          <w:p w14:paraId="7F38371D" w14:textId="77777777" w:rsidR="009D65DC" w:rsidRPr="00757187" w:rsidRDefault="009D65DC" w:rsidP="009D65DC">
            <w:pPr>
              <w:pStyle w:val="Default"/>
              <w:rPr>
                <w:lang w:val="en-GB" w:eastAsia="en-US"/>
              </w:rPr>
            </w:pPr>
          </w:p>
          <w:p w14:paraId="6BF3F094" w14:textId="77777777" w:rsidR="001564A4" w:rsidRPr="00757187" w:rsidRDefault="001564A4" w:rsidP="005C638B">
            <w:pPr>
              <w:pStyle w:val="Pa12"/>
              <w:rPr>
                <w:rStyle w:val="A4"/>
                <w:b/>
                <w:bCs/>
                <w:lang w:val="en-GB"/>
              </w:rPr>
            </w:pPr>
            <w:r w:rsidRPr="00757187">
              <w:rPr>
                <w:rStyle w:val="A4"/>
                <w:b/>
                <w:bCs/>
                <w:lang w:val="en-GB"/>
              </w:rPr>
              <w:t xml:space="preserve">Results: </w:t>
            </w:r>
          </w:p>
          <w:p w14:paraId="18F77515" w14:textId="1F9961E8" w:rsidR="001564A4" w:rsidRPr="00757187" w:rsidRDefault="00A44A96" w:rsidP="005C638B">
            <w:pPr>
              <w:rPr>
                <w:rFonts w:ascii="Arial" w:hAnsi="Arial" w:cs="Arial"/>
                <w:sz w:val="22"/>
                <w:szCs w:val="22"/>
              </w:rPr>
            </w:pPr>
            <w:r w:rsidRPr="00757187">
              <w:rPr>
                <w:rFonts w:ascii="Arial" w:hAnsi="Arial" w:cs="Arial"/>
                <w:sz w:val="22"/>
                <w:szCs w:val="22"/>
              </w:rPr>
              <w:t xml:space="preserve">The results showed that the nationwide and regional models yielded comparable results, but overall, the regional models provided slightly higher accuracy. The nationwide model had </w:t>
            </w:r>
            <w:r w:rsidR="00F73B12">
              <w:rPr>
                <w:rFonts w:ascii="Arial" w:hAnsi="Arial" w:cs="Arial"/>
                <w:sz w:val="22"/>
                <w:szCs w:val="22"/>
              </w:rPr>
              <w:t>a</w:t>
            </w:r>
            <w:r w:rsidR="00F441E1">
              <w:rPr>
                <w:rFonts w:ascii="Arial" w:hAnsi="Arial" w:cs="Arial"/>
                <w:sz w:val="22"/>
                <w:szCs w:val="22"/>
              </w:rPr>
              <w:t xml:space="preserve"> cross-validated</w:t>
            </w:r>
            <w:r w:rsidR="00F73B12">
              <w:rPr>
                <w:rFonts w:ascii="Arial" w:hAnsi="Arial" w:cs="Arial"/>
                <w:sz w:val="22"/>
                <w:szCs w:val="22"/>
              </w:rPr>
              <w:t xml:space="preserve"> </w:t>
            </w:r>
            <w:r w:rsidRPr="00757187">
              <w:rPr>
                <w:rFonts w:ascii="Arial" w:hAnsi="Arial" w:cs="Arial"/>
                <w:sz w:val="22"/>
                <w:szCs w:val="22"/>
              </w:rPr>
              <w:t>RMSE% of 19.</w:t>
            </w:r>
            <w:r w:rsidR="00082DBB">
              <w:rPr>
                <w:rFonts w:ascii="Arial" w:hAnsi="Arial" w:cs="Arial"/>
                <w:sz w:val="22"/>
                <w:szCs w:val="22"/>
              </w:rPr>
              <w:t>9</w:t>
            </w:r>
            <w:r w:rsidRPr="00757187">
              <w:rPr>
                <w:rFonts w:ascii="Arial" w:hAnsi="Arial" w:cs="Arial"/>
                <w:sz w:val="22"/>
                <w:szCs w:val="22"/>
              </w:rPr>
              <w:t xml:space="preserve">% while </w:t>
            </w:r>
            <w:r w:rsidR="00FC28E6">
              <w:rPr>
                <w:rFonts w:ascii="Arial" w:hAnsi="Arial" w:cs="Arial"/>
                <w:sz w:val="22"/>
                <w:szCs w:val="22"/>
              </w:rPr>
              <w:t xml:space="preserve">the </w:t>
            </w:r>
            <w:r w:rsidRPr="00757187">
              <w:rPr>
                <w:rFonts w:ascii="Arial" w:hAnsi="Arial" w:cs="Arial"/>
                <w:sz w:val="22"/>
                <w:szCs w:val="22"/>
              </w:rPr>
              <w:t>regional model</w:t>
            </w:r>
            <w:r w:rsidR="00F73B12">
              <w:rPr>
                <w:rFonts w:ascii="Arial" w:hAnsi="Arial" w:cs="Arial"/>
                <w:sz w:val="22"/>
                <w:szCs w:val="22"/>
              </w:rPr>
              <w:t xml:space="preserve"> RMSEs</w:t>
            </w:r>
            <w:r w:rsidRPr="00757187">
              <w:rPr>
                <w:rFonts w:ascii="Arial" w:hAnsi="Arial" w:cs="Arial"/>
                <w:sz w:val="22"/>
                <w:szCs w:val="22"/>
              </w:rPr>
              <w:t xml:space="preserve"> ranged from 9.5% to 20.9%. When the nationwide model </w:t>
            </w:r>
            <w:r w:rsidR="00F441E1">
              <w:rPr>
                <w:rFonts w:ascii="Arial" w:hAnsi="Arial" w:cs="Arial"/>
                <w:sz w:val="22"/>
                <w:szCs w:val="22"/>
              </w:rPr>
              <w:t xml:space="preserve">results were </w:t>
            </w:r>
            <w:r w:rsidR="00582D13">
              <w:rPr>
                <w:rFonts w:ascii="Arial" w:hAnsi="Arial" w:cs="Arial"/>
                <w:sz w:val="22"/>
                <w:szCs w:val="22"/>
              </w:rPr>
              <w:t>analysed</w:t>
            </w:r>
            <w:r w:rsidR="00F441E1">
              <w:rPr>
                <w:rFonts w:ascii="Arial" w:hAnsi="Arial" w:cs="Arial"/>
                <w:sz w:val="22"/>
                <w:szCs w:val="22"/>
              </w:rPr>
              <w:t xml:space="preserve"> by region, the </w:t>
            </w:r>
            <w:r w:rsidRPr="00757187">
              <w:rPr>
                <w:rFonts w:ascii="Arial" w:hAnsi="Arial" w:cs="Arial"/>
                <w:sz w:val="22"/>
                <w:szCs w:val="22"/>
              </w:rPr>
              <w:t xml:space="preserve">RMSE% </w:t>
            </w:r>
            <w:r w:rsidR="00F441E1">
              <w:rPr>
                <w:rFonts w:ascii="Arial" w:hAnsi="Arial" w:cs="Arial"/>
                <w:sz w:val="22"/>
                <w:szCs w:val="22"/>
              </w:rPr>
              <w:t xml:space="preserve">were </w:t>
            </w:r>
            <w:r w:rsidR="00542B96">
              <w:rPr>
                <w:rFonts w:ascii="Arial" w:hAnsi="Arial" w:cs="Arial"/>
                <w:sz w:val="22"/>
                <w:szCs w:val="22"/>
              </w:rPr>
              <w:t>0.9</w:t>
            </w:r>
            <w:r w:rsidRPr="00757187">
              <w:rPr>
                <w:rFonts w:ascii="Arial" w:hAnsi="Arial" w:cs="Arial"/>
                <w:sz w:val="22"/>
                <w:szCs w:val="22"/>
              </w:rPr>
              <w:t>%</w:t>
            </w:r>
            <w:r w:rsidR="00F73B12">
              <w:rPr>
                <w:rFonts w:ascii="Arial" w:hAnsi="Arial" w:cs="Arial"/>
                <w:sz w:val="22"/>
                <w:szCs w:val="22"/>
              </w:rPr>
              <w:t>–</w:t>
            </w:r>
            <w:r w:rsidRPr="00757187">
              <w:rPr>
                <w:rFonts w:ascii="Arial" w:hAnsi="Arial" w:cs="Arial"/>
                <w:sz w:val="22"/>
                <w:szCs w:val="22"/>
              </w:rPr>
              <w:t>1</w:t>
            </w:r>
            <w:r w:rsidR="00542B96">
              <w:rPr>
                <w:rFonts w:ascii="Arial" w:hAnsi="Arial" w:cs="Arial"/>
                <w:sz w:val="22"/>
                <w:szCs w:val="22"/>
              </w:rPr>
              <w:t>0.3</w:t>
            </w:r>
            <w:r w:rsidRPr="00757187">
              <w:rPr>
                <w:rFonts w:ascii="Arial" w:hAnsi="Arial" w:cs="Arial"/>
                <w:sz w:val="22"/>
                <w:szCs w:val="22"/>
              </w:rPr>
              <w:t>%</w:t>
            </w:r>
            <w:r w:rsidR="00F441E1">
              <w:rPr>
                <w:rFonts w:ascii="Arial" w:hAnsi="Arial" w:cs="Arial"/>
                <w:sz w:val="22"/>
                <w:szCs w:val="22"/>
              </w:rPr>
              <w:t xml:space="preserve"> larger compared to regional models</w:t>
            </w:r>
            <w:r w:rsidRPr="00757187">
              <w:rPr>
                <w:rFonts w:ascii="Arial" w:hAnsi="Arial" w:cs="Arial"/>
                <w:sz w:val="22"/>
                <w:szCs w:val="22"/>
              </w:rPr>
              <w:t xml:space="preserve">. </w:t>
            </w:r>
            <w:r w:rsidR="00F73B12">
              <w:rPr>
                <w:rFonts w:ascii="Arial" w:hAnsi="Arial" w:cs="Arial"/>
                <w:sz w:val="22"/>
                <w:szCs w:val="22"/>
              </w:rPr>
              <w:t xml:space="preserve">The </w:t>
            </w:r>
            <w:r w:rsidR="00F73B12" w:rsidRPr="00757187">
              <w:rPr>
                <w:rFonts w:ascii="Arial" w:hAnsi="Arial" w:cs="Arial"/>
                <w:sz w:val="22"/>
                <w:szCs w:val="22"/>
              </w:rPr>
              <w:t xml:space="preserve">regional models </w:t>
            </w:r>
            <w:r w:rsidR="00F73B12">
              <w:rPr>
                <w:rFonts w:ascii="Arial" w:hAnsi="Arial" w:cs="Arial"/>
                <w:sz w:val="22"/>
                <w:szCs w:val="22"/>
              </w:rPr>
              <w:t xml:space="preserve">had better accuracy especially </w:t>
            </w:r>
            <w:r w:rsidR="00FC28E6">
              <w:rPr>
                <w:rFonts w:ascii="Arial" w:hAnsi="Arial" w:cs="Arial"/>
                <w:sz w:val="22"/>
                <w:szCs w:val="22"/>
              </w:rPr>
              <w:t>for</w:t>
            </w:r>
            <w:r w:rsidRPr="00757187">
              <w:rPr>
                <w:rFonts w:ascii="Arial" w:hAnsi="Arial" w:cs="Arial"/>
                <w:sz w:val="22"/>
                <w:szCs w:val="22"/>
              </w:rPr>
              <w:t xml:space="preserve"> </w:t>
            </w:r>
            <w:r w:rsidR="00FC28E6">
              <w:rPr>
                <w:rFonts w:ascii="Arial" w:hAnsi="Arial" w:cs="Arial"/>
                <w:sz w:val="22"/>
                <w:szCs w:val="22"/>
              </w:rPr>
              <w:t>larger</w:t>
            </w:r>
            <w:r w:rsidR="00FC28E6" w:rsidRPr="00757187">
              <w:rPr>
                <w:rFonts w:ascii="Arial" w:hAnsi="Arial" w:cs="Arial"/>
                <w:sz w:val="22"/>
                <w:szCs w:val="22"/>
              </w:rPr>
              <w:t xml:space="preserve"> </w:t>
            </w:r>
            <w:r w:rsidRPr="00757187">
              <w:rPr>
                <w:rFonts w:ascii="Arial" w:hAnsi="Arial" w:cs="Arial"/>
                <w:sz w:val="22"/>
                <w:szCs w:val="22"/>
              </w:rPr>
              <w:t xml:space="preserve">effective LAI values. The most </w:t>
            </w:r>
            <w:r w:rsidR="0090116B">
              <w:rPr>
                <w:rFonts w:ascii="Arial" w:hAnsi="Arial" w:cs="Arial"/>
                <w:sz w:val="22"/>
                <w:szCs w:val="22"/>
              </w:rPr>
              <w:t>selected</w:t>
            </w:r>
            <w:r w:rsidRPr="00757187">
              <w:rPr>
                <w:rFonts w:ascii="Arial" w:hAnsi="Arial" w:cs="Arial"/>
                <w:sz w:val="22"/>
                <w:szCs w:val="22"/>
              </w:rPr>
              <w:t xml:space="preserve"> ALS </w:t>
            </w:r>
            <w:r w:rsidR="0090116B">
              <w:rPr>
                <w:rFonts w:ascii="Arial" w:hAnsi="Arial" w:cs="Arial"/>
                <w:sz w:val="22"/>
                <w:szCs w:val="22"/>
              </w:rPr>
              <w:t xml:space="preserve">predictors included </w:t>
            </w:r>
            <w:r w:rsidRPr="00757187">
              <w:rPr>
                <w:rFonts w:ascii="Arial" w:hAnsi="Arial" w:cs="Arial"/>
                <w:sz w:val="22"/>
                <w:szCs w:val="22"/>
              </w:rPr>
              <w:t>logarithmic transformations of canopy penetration indices derived from either first</w:t>
            </w:r>
            <w:r w:rsidR="0090116B">
              <w:rPr>
                <w:rFonts w:ascii="Arial" w:hAnsi="Arial" w:cs="Arial"/>
                <w:sz w:val="22"/>
                <w:szCs w:val="22"/>
              </w:rPr>
              <w:t xml:space="preserve"> and single</w:t>
            </w:r>
            <w:r w:rsidRPr="00757187">
              <w:rPr>
                <w:rFonts w:ascii="Arial" w:hAnsi="Arial" w:cs="Arial"/>
                <w:sz w:val="22"/>
                <w:szCs w:val="22"/>
              </w:rPr>
              <w:t xml:space="preserve"> or all echoes. </w:t>
            </w:r>
          </w:p>
          <w:p w14:paraId="68537800" w14:textId="77777777" w:rsidR="001564A4" w:rsidRPr="00757187" w:rsidRDefault="001564A4" w:rsidP="005C638B">
            <w:pPr>
              <w:pStyle w:val="Pa12"/>
              <w:rPr>
                <w:rStyle w:val="A4"/>
                <w:bCs/>
                <w:lang w:val="en-GB"/>
              </w:rPr>
            </w:pPr>
          </w:p>
          <w:p w14:paraId="652F7BE1" w14:textId="77777777" w:rsidR="001564A4" w:rsidRPr="00757187" w:rsidRDefault="001564A4" w:rsidP="005C638B">
            <w:pPr>
              <w:pStyle w:val="Pa12"/>
              <w:rPr>
                <w:rStyle w:val="A4"/>
                <w:b/>
                <w:bCs/>
                <w:lang w:val="en-GB"/>
              </w:rPr>
            </w:pPr>
            <w:r w:rsidRPr="00757187">
              <w:rPr>
                <w:rStyle w:val="A4"/>
                <w:b/>
                <w:bCs/>
                <w:lang w:val="en-GB"/>
              </w:rPr>
              <w:t xml:space="preserve">Conclusion: </w:t>
            </w:r>
          </w:p>
          <w:p w14:paraId="3EFA0EE4" w14:textId="51A14473" w:rsidR="005C638B" w:rsidRPr="00757187" w:rsidRDefault="00266943" w:rsidP="005C638B">
            <w:pPr>
              <w:rPr>
                <w:rFonts w:ascii="Arial" w:hAnsi="Arial" w:cs="Arial"/>
                <w:sz w:val="22"/>
                <w:szCs w:val="22"/>
              </w:rPr>
            </w:pPr>
            <w:r w:rsidRPr="00757187">
              <w:rPr>
                <w:rFonts w:ascii="Arial" w:hAnsi="Arial" w:cs="Arial"/>
                <w:sz w:val="22"/>
                <w:szCs w:val="22"/>
              </w:rPr>
              <w:t xml:space="preserve">Although different ALS acquisition settings may have an influence on the results, it </w:t>
            </w:r>
            <w:r w:rsidR="0090116B">
              <w:rPr>
                <w:rFonts w:ascii="Arial" w:hAnsi="Arial" w:cs="Arial"/>
                <w:sz w:val="22"/>
                <w:szCs w:val="22"/>
              </w:rPr>
              <w:t>i</w:t>
            </w:r>
            <w:r w:rsidRPr="00757187">
              <w:rPr>
                <w:rFonts w:ascii="Arial" w:hAnsi="Arial" w:cs="Arial"/>
                <w:sz w:val="22"/>
                <w:szCs w:val="22"/>
              </w:rPr>
              <w:t xml:space="preserve">s still possible to obtain </w:t>
            </w:r>
            <w:r w:rsidR="00D91512">
              <w:rPr>
                <w:rFonts w:ascii="Arial" w:hAnsi="Arial" w:cs="Arial"/>
                <w:sz w:val="22"/>
                <w:szCs w:val="22"/>
              </w:rPr>
              <w:t>reasonably accurate</w:t>
            </w:r>
            <w:r w:rsidR="00D91512" w:rsidRPr="00757187">
              <w:rPr>
                <w:rFonts w:ascii="Arial" w:hAnsi="Arial" w:cs="Arial"/>
                <w:sz w:val="22"/>
                <w:szCs w:val="22"/>
              </w:rPr>
              <w:t xml:space="preserve"> </w:t>
            </w:r>
            <w:r w:rsidRPr="00757187">
              <w:rPr>
                <w:rFonts w:ascii="Arial" w:hAnsi="Arial" w:cs="Arial"/>
                <w:sz w:val="22"/>
                <w:szCs w:val="22"/>
              </w:rPr>
              <w:t>predictions with nationwide LAI models</w:t>
            </w:r>
            <w:r w:rsidR="00D91512">
              <w:rPr>
                <w:rFonts w:ascii="Arial" w:hAnsi="Arial" w:cs="Arial"/>
                <w:sz w:val="22"/>
                <w:szCs w:val="22"/>
              </w:rPr>
              <w:t xml:space="preserve"> trained without local </w:t>
            </w:r>
            <w:r w:rsidR="00860B83">
              <w:rPr>
                <w:rFonts w:ascii="Arial" w:hAnsi="Arial" w:cs="Arial"/>
                <w:sz w:val="22"/>
                <w:szCs w:val="22"/>
              </w:rPr>
              <w:t xml:space="preserve">calibration </w:t>
            </w:r>
            <w:r w:rsidR="00D91512">
              <w:rPr>
                <w:rFonts w:ascii="Arial" w:hAnsi="Arial" w:cs="Arial"/>
                <w:sz w:val="22"/>
                <w:szCs w:val="22"/>
              </w:rPr>
              <w:t>data</w:t>
            </w:r>
            <w:r w:rsidRPr="00757187">
              <w:rPr>
                <w:rFonts w:ascii="Arial" w:hAnsi="Arial" w:cs="Arial"/>
                <w:sz w:val="22"/>
                <w:szCs w:val="22"/>
              </w:rPr>
              <w:t xml:space="preserve">. </w:t>
            </w:r>
            <w:r w:rsidR="00B267E3">
              <w:rPr>
                <w:rFonts w:ascii="Arial" w:hAnsi="Arial" w:cs="Arial"/>
                <w:sz w:val="22"/>
                <w:szCs w:val="22"/>
              </w:rPr>
              <w:t>However, on average the l</w:t>
            </w:r>
            <w:r w:rsidRPr="00757187">
              <w:rPr>
                <w:rFonts w:ascii="Arial" w:hAnsi="Arial" w:cs="Arial"/>
                <w:sz w:val="22"/>
                <w:szCs w:val="22"/>
              </w:rPr>
              <w:t xml:space="preserve">ocal </w:t>
            </w:r>
            <w:r w:rsidR="00FC28E6">
              <w:rPr>
                <w:rFonts w:ascii="Arial" w:hAnsi="Arial" w:cs="Arial"/>
                <w:sz w:val="22"/>
                <w:szCs w:val="22"/>
              </w:rPr>
              <w:t>models</w:t>
            </w:r>
            <w:r w:rsidRPr="00757187">
              <w:rPr>
                <w:rFonts w:ascii="Arial" w:hAnsi="Arial" w:cs="Arial"/>
                <w:sz w:val="22"/>
                <w:szCs w:val="22"/>
              </w:rPr>
              <w:t xml:space="preserve"> </w:t>
            </w:r>
            <w:r w:rsidR="00B267E3">
              <w:rPr>
                <w:rFonts w:ascii="Arial" w:hAnsi="Arial" w:cs="Arial"/>
                <w:sz w:val="22"/>
                <w:szCs w:val="22"/>
              </w:rPr>
              <w:t xml:space="preserve">4.5% smaller RMSE% than the nationwide model </w:t>
            </w:r>
            <w:r w:rsidRPr="00757187">
              <w:rPr>
                <w:rFonts w:ascii="Arial" w:hAnsi="Arial" w:cs="Arial"/>
                <w:sz w:val="22"/>
                <w:szCs w:val="22"/>
              </w:rPr>
              <w:t xml:space="preserve">in all regions, which </w:t>
            </w:r>
            <w:r w:rsidR="0090116B">
              <w:rPr>
                <w:rFonts w:ascii="Arial" w:hAnsi="Arial" w:cs="Arial"/>
                <w:sz w:val="22"/>
                <w:szCs w:val="22"/>
              </w:rPr>
              <w:t>i</w:t>
            </w:r>
            <w:r w:rsidRPr="00757187">
              <w:rPr>
                <w:rFonts w:ascii="Arial" w:hAnsi="Arial" w:cs="Arial"/>
                <w:sz w:val="22"/>
                <w:szCs w:val="22"/>
              </w:rPr>
              <w:t>s consistent with previous findings of nationwide forest volume and biomass models (</w:t>
            </w:r>
            <w:proofErr w:type="spellStart"/>
            <w:r w:rsidRPr="00757187">
              <w:rPr>
                <w:rFonts w:ascii="Arial" w:hAnsi="Arial" w:cs="Arial"/>
                <w:sz w:val="22"/>
                <w:szCs w:val="22"/>
              </w:rPr>
              <w:t>Kotivuori</w:t>
            </w:r>
            <w:proofErr w:type="spellEnd"/>
            <w:r w:rsidRPr="00757187">
              <w:rPr>
                <w:rFonts w:ascii="Arial" w:hAnsi="Arial" w:cs="Arial"/>
                <w:sz w:val="22"/>
                <w:szCs w:val="22"/>
              </w:rPr>
              <w:t xml:space="preserve"> et al., 2016). </w:t>
            </w:r>
          </w:p>
          <w:p w14:paraId="69B04572" w14:textId="1A1A19FF" w:rsidR="001564A4" w:rsidRPr="00757187" w:rsidRDefault="001564A4" w:rsidP="005C638B">
            <w:pPr>
              <w:rPr>
                <w:rFonts w:ascii="Arial" w:hAnsi="Arial" w:cs="Arial"/>
                <w:sz w:val="22"/>
                <w:szCs w:val="22"/>
              </w:rPr>
            </w:pPr>
          </w:p>
          <w:p w14:paraId="7F8381F0" w14:textId="134AFF82" w:rsidR="001564A4" w:rsidRPr="00757187" w:rsidRDefault="001564A4" w:rsidP="005C638B">
            <w:pPr>
              <w:rPr>
                <w:rFonts w:ascii="Arial" w:hAnsi="Arial" w:cs="Arial"/>
                <w:sz w:val="22"/>
                <w:szCs w:val="22"/>
              </w:rPr>
            </w:pPr>
            <w:r w:rsidRPr="00757187">
              <w:rPr>
                <w:rFonts w:ascii="Arial" w:hAnsi="Arial" w:cs="Arial"/>
                <w:sz w:val="22"/>
                <w:szCs w:val="22"/>
              </w:rPr>
              <w:br/>
            </w:r>
            <w:r w:rsidRPr="00757187">
              <w:rPr>
                <w:rFonts w:ascii="Arial" w:hAnsi="Arial" w:cs="Arial"/>
                <w:sz w:val="22"/>
                <w:szCs w:val="22"/>
              </w:rPr>
              <w:br/>
            </w:r>
            <w:r w:rsidRPr="00757187">
              <w:rPr>
                <w:rFonts w:ascii="Arial" w:hAnsi="Arial" w:cs="Arial"/>
                <w:sz w:val="22"/>
                <w:szCs w:val="22"/>
              </w:rPr>
              <w:br/>
            </w:r>
            <w:r w:rsidRPr="00757187">
              <w:rPr>
                <w:rFonts w:ascii="Arial" w:hAnsi="Arial" w:cs="Arial"/>
                <w:sz w:val="22"/>
                <w:szCs w:val="22"/>
              </w:rPr>
              <w:br/>
            </w:r>
            <w:r w:rsidRPr="00757187">
              <w:rPr>
                <w:rFonts w:ascii="Arial" w:hAnsi="Arial" w:cs="Arial"/>
                <w:sz w:val="22"/>
                <w:szCs w:val="22"/>
              </w:rPr>
              <w:br/>
            </w:r>
            <w:r w:rsidRPr="00757187">
              <w:rPr>
                <w:rFonts w:ascii="Arial" w:hAnsi="Arial" w:cs="Arial"/>
                <w:sz w:val="22"/>
                <w:szCs w:val="22"/>
              </w:rPr>
              <w:br/>
            </w:r>
            <w:r w:rsidRPr="00757187">
              <w:rPr>
                <w:rFonts w:ascii="Arial" w:hAnsi="Arial" w:cs="Arial"/>
                <w:sz w:val="22"/>
                <w:szCs w:val="22"/>
              </w:rPr>
              <w:br/>
            </w:r>
            <w:r w:rsidRPr="00757187">
              <w:rPr>
                <w:rFonts w:ascii="Arial" w:hAnsi="Arial" w:cs="Arial"/>
                <w:sz w:val="22"/>
                <w:szCs w:val="22"/>
              </w:rPr>
              <w:br/>
            </w:r>
            <w:r w:rsidRPr="00757187">
              <w:rPr>
                <w:rFonts w:ascii="Arial" w:hAnsi="Arial" w:cs="Arial"/>
                <w:sz w:val="22"/>
                <w:szCs w:val="22"/>
              </w:rPr>
              <w:br/>
            </w:r>
          </w:p>
          <w:p w14:paraId="731CD908" w14:textId="77777777" w:rsidR="001564A4" w:rsidRPr="00757187" w:rsidRDefault="001564A4" w:rsidP="005C638B">
            <w:pPr>
              <w:pStyle w:val="Default"/>
              <w:rPr>
                <w:sz w:val="22"/>
                <w:szCs w:val="22"/>
                <w:lang w:val="en-GB"/>
              </w:rPr>
            </w:pPr>
          </w:p>
          <w:p w14:paraId="34BF0A0F" w14:textId="77777777" w:rsidR="001564A4" w:rsidRPr="00757187" w:rsidRDefault="001564A4" w:rsidP="005C638B">
            <w:pPr>
              <w:pStyle w:val="Default"/>
              <w:rPr>
                <w:sz w:val="22"/>
                <w:szCs w:val="22"/>
                <w:lang w:val="en-GB"/>
              </w:rPr>
            </w:pPr>
          </w:p>
          <w:p w14:paraId="1FF1A88F" w14:textId="77777777" w:rsidR="001564A4" w:rsidRPr="00757187" w:rsidRDefault="001564A4" w:rsidP="005C638B">
            <w:pPr>
              <w:pStyle w:val="Pa12"/>
              <w:rPr>
                <w:rStyle w:val="A4"/>
                <w:bCs/>
                <w:lang w:val="en-GB"/>
              </w:rPr>
            </w:pP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r w:rsidRPr="00757187">
              <w:rPr>
                <w:rStyle w:val="A4"/>
                <w:bCs/>
                <w:lang w:val="en-GB"/>
              </w:rPr>
              <w:br/>
            </w:r>
          </w:p>
          <w:p w14:paraId="14DC37E4" w14:textId="77777777" w:rsidR="001564A4" w:rsidRPr="00757187" w:rsidRDefault="001564A4" w:rsidP="005C638B">
            <w:pPr>
              <w:pStyle w:val="Default"/>
              <w:rPr>
                <w:rStyle w:val="A4"/>
                <w:bCs/>
                <w:lang w:val="en-GB"/>
              </w:rPr>
            </w:pPr>
          </w:p>
          <w:p w14:paraId="5F58D34F" w14:textId="77777777" w:rsidR="001564A4" w:rsidRPr="00757187" w:rsidRDefault="001564A4" w:rsidP="005C638B">
            <w:pPr>
              <w:pStyle w:val="Default"/>
              <w:rPr>
                <w:sz w:val="22"/>
                <w:szCs w:val="22"/>
                <w:lang w:val="en-GB" w:eastAsia="en-GB"/>
              </w:rPr>
            </w:pP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r w:rsidRPr="00757187">
              <w:rPr>
                <w:sz w:val="22"/>
                <w:szCs w:val="22"/>
                <w:lang w:val="en-GB" w:eastAsia="en-GB"/>
              </w:rPr>
              <w:br/>
            </w:r>
          </w:p>
        </w:tc>
      </w:tr>
    </w:tbl>
    <w:p w14:paraId="6E382DA4" w14:textId="77777777" w:rsidR="005C638B" w:rsidRDefault="005C638B" w:rsidP="005C638B">
      <w:pPr>
        <w:rPr>
          <w:sz w:val="22"/>
          <w:szCs w:val="22"/>
        </w:rPr>
      </w:pPr>
    </w:p>
    <w:p w14:paraId="73F1BFE8" w14:textId="77777777" w:rsidR="005C638B" w:rsidRDefault="005C638B" w:rsidP="005C638B">
      <w:pPr>
        <w:rPr>
          <w:sz w:val="22"/>
          <w:szCs w:val="22"/>
        </w:rPr>
      </w:pPr>
    </w:p>
    <w:p w14:paraId="1475280A" w14:textId="77777777" w:rsidR="005C638B" w:rsidRDefault="005C638B" w:rsidP="005C638B">
      <w:pPr>
        <w:rPr>
          <w:sz w:val="22"/>
          <w:szCs w:val="22"/>
        </w:rPr>
      </w:pPr>
    </w:p>
    <w:p w14:paraId="444F882B" w14:textId="77777777" w:rsidR="00F25464" w:rsidRDefault="00F25464" w:rsidP="005C638B">
      <w:pPr>
        <w:rPr>
          <w:sz w:val="22"/>
          <w:szCs w:val="22"/>
        </w:rPr>
      </w:pPr>
    </w:p>
    <w:p w14:paraId="1FFFC8D6" w14:textId="77777777" w:rsidR="00F25464" w:rsidRDefault="00F25464" w:rsidP="005C638B">
      <w:pPr>
        <w:rPr>
          <w:sz w:val="22"/>
          <w:szCs w:val="22"/>
        </w:rPr>
      </w:pPr>
    </w:p>
    <w:p w14:paraId="4E6ECAE0" w14:textId="77777777" w:rsidR="00F25464" w:rsidRDefault="00F25464" w:rsidP="005C638B">
      <w:pPr>
        <w:rPr>
          <w:sz w:val="22"/>
          <w:szCs w:val="22"/>
        </w:rPr>
      </w:pPr>
    </w:p>
    <w:p w14:paraId="79CF9026" w14:textId="31077F20" w:rsidR="00082DBB" w:rsidRDefault="00082DBB" w:rsidP="00082DBB">
      <w:pPr>
        <w:jc w:val="center"/>
        <w:rPr>
          <w:rFonts w:ascii="Arial" w:hAnsi="Arial" w:cs="Arial"/>
          <w:sz w:val="22"/>
          <w:szCs w:val="22"/>
        </w:rPr>
      </w:pPr>
      <w:r>
        <w:rPr>
          <w:rFonts w:ascii="Arial" w:hAnsi="Arial" w:cs="Arial"/>
          <w:sz w:val="22"/>
          <w:szCs w:val="22"/>
        </w:rPr>
        <w:t>Table 1. Nationwide and regional effective LAI model accuracy</w:t>
      </w:r>
    </w:p>
    <w:tbl>
      <w:tblPr>
        <w:tblStyle w:val="TableGrid"/>
        <w:tblW w:w="3817"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1392"/>
        <w:gridCol w:w="1910"/>
        <w:gridCol w:w="2136"/>
      </w:tblGrid>
      <w:tr w:rsidR="002439DF" w:rsidRPr="00326708" w14:paraId="40466320" w14:textId="309494FC" w:rsidTr="00082DBB">
        <w:trPr>
          <w:jc w:val="center"/>
        </w:trPr>
        <w:tc>
          <w:tcPr>
            <w:tcW w:w="1054" w:type="pct"/>
            <w:tcBorders>
              <w:top w:val="single" w:sz="12" w:space="0" w:color="auto"/>
              <w:bottom w:val="single" w:sz="8" w:space="0" w:color="auto"/>
            </w:tcBorders>
            <w:vAlign w:val="center"/>
          </w:tcPr>
          <w:p w14:paraId="29B96242" w14:textId="77777777" w:rsidR="002439DF" w:rsidRPr="00326708" w:rsidRDefault="002439DF">
            <w:pPr>
              <w:jc w:val="center"/>
              <w:rPr>
                <w:rFonts w:ascii="Arial" w:hAnsi="Arial" w:cs="Arial"/>
                <w:sz w:val="22"/>
                <w:szCs w:val="22"/>
              </w:rPr>
            </w:pPr>
          </w:p>
        </w:tc>
        <w:tc>
          <w:tcPr>
            <w:tcW w:w="1010" w:type="pct"/>
            <w:tcBorders>
              <w:top w:val="single" w:sz="12" w:space="0" w:color="auto"/>
              <w:bottom w:val="single" w:sz="8" w:space="0" w:color="auto"/>
            </w:tcBorders>
            <w:vAlign w:val="center"/>
            <w:hideMark/>
          </w:tcPr>
          <w:p w14:paraId="47FB4349" w14:textId="0205D42E" w:rsidR="002439DF" w:rsidRPr="00326708" w:rsidRDefault="002439DF">
            <w:pPr>
              <w:jc w:val="center"/>
              <w:rPr>
                <w:rFonts w:ascii="Arial" w:hAnsi="Arial" w:cs="Arial"/>
                <w:b/>
                <w:bCs/>
                <w:sz w:val="22"/>
                <w:szCs w:val="22"/>
              </w:rPr>
            </w:pPr>
            <w:r w:rsidRPr="00326708">
              <w:rPr>
                <w:rFonts w:ascii="Arial" w:hAnsi="Arial" w:cs="Arial"/>
                <w:b/>
                <w:bCs/>
                <w:sz w:val="22"/>
                <w:szCs w:val="22"/>
              </w:rPr>
              <w:t xml:space="preserve">Nationwide </w:t>
            </w:r>
            <w:r w:rsidR="00ED606A">
              <w:rPr>
                <w:rFonts w:ascii="Arial" w:hAnsi="Arial" w:cs="Arial"/>
                <w:b/>
                <w:bCs/>
                <w:sz w:val="22"/>
                <w:szCs w:val="22"/>
              </w:rPr>
              <w:t>model</w:t>
            </w:r>
          </w:p>
        </w:tc>
        <w:tc>
          <w:tcPr>
            <w:tcW w:w="1386" w:type="pct"/>
            <w:tcBorders>
              <w:top w:val="single" w:sz="12" w:space="0" w:color="auto"/>
              <w:bottom w:val="single" w:sz="8" w:space="0" w:color="auto"/>
            </w:tcBorders>
            <w:vAlign w:val="center"/>
            <w:hideMark/>
          </w:tcPr>
          <w:p w14:paraId="0D512209" w14:textId="65092242" w:rsidR="002439DF" w:rsidRPr="00326708" w:rsidRDefault="002439DF">
            <w:pPr>
              <w:jc w:val="center"/>
              <w:rPr>
                <w:rFonts w:ascii="Arial" w:hAnsi="Arial" w:cs="Arial"/>
                <w:b/>
                <w:bCs/>
                <w:sz w:val="22"/>
                <w:szCs w:val="22"/>
              </w:rPr>
            </w:pPr>
            <w:r w:rsidRPr="00326708">
              <w:rPr>
                <w:rFonts w:ascii="Arial" w:hAnsi="Arial" w:cs="Arial"/>
                <w:b/>
                <w:bCs/>
                <w:sz w:val="22"/>
                <w:szCs w:val="22"/>
              </w:rPr>
              <w:t xml:space="preserve">Regional </w:t>
            </w:r>
            <w:r w:rsidR="00ED606A">
              <w:rPr>
                <w:rFonts w:ascii="Arial" w:hAnsi="Arial" w:cs="Arial"/>
                <w:b/>
                <w:bCs/>
                <w:sz w:val="22"/>
                <w:szCs w:val="22"/>
              </w:rPr>
              <w:t>models</w:t>
            </w:r>
          </w:p>
        </w:tc>
        <w:tc>
          <w:tcPr>
            <w:tcW w:w="1550" w:type="pct"/>
            <w:tcBorders>
              <w:top w:val="single" w:sz="12" w:space="0" w:color="auto"/>
              <w:bottom w:val="single" w:sz="8" w:space="0" w:color="auto"/>
            </w:tcBorders>
            <w:vAlign w:val="center"/>
            <w:hideMark/>
          </w:tcPr>
          <w:p w14:paraId="7C9376ED" w14:textId="28BB5B0C" w:rsidR="002439DF" w:rsidRPr="00326708" w:rsidRDefault="002439DF">
            <w:pPr>
              <w:jc w:val="center"/>
              <w:rPr>
                <w:rFonts w:ascii="Arial" w:hAnsi="Arial" w:cs="Arial"/>
                <w:b/>
                <w:bCs/>
                <w:sz w:val="22"/>
                <w:szCs w:val="22"/>
              </w:rPr>
            </w:pPr>
            <w:r w:rsidRPr="00326708">
              <w:rPr>
                <w:rFonts w:ascii="Arial" w:hAnsi="Arial" w:cs="Arial"/>
                <w:b/>
                <w:bCs/>
                <w:sz w:val="22"/>
                <w:szCs w:val="22"/>
              </w:rPr>
              <w:t>Nationwide</w:t>
            </w:r>
            <w:r w:rsidR="00847FE2">
              <w:rPr>
                <w:rFonts w:ascii="Arial" w:hAnsi="Arial" w:cs="Arial"/>
                <w:b/>
                <w:bCs/>
                <w:sz w:val="22"/>
                <w:szCs w:val="22"/>
              </w:rPr>
              <w:t xml:space="preserve"> </w:t>
            </w:r>
            <w:r w:rsidR="00ED606A">
              <w:rPr>
                <w:rFonts w:ascii="Arial" w:hAnsi="Arial" w:cs="Arial"/>
                <w:b/>
                <w:bCs/>
                <w:sz w:val="22"/>
                <w:szCs w:val="22"/>
              </w:rPr>
              <w:t>model by region</w:t>
            </w:r>
          </w:p>
        </w:tc>
      </w:tr>
      <w:tr w:rsidR="002439DF" w:rsidRPr="00326708" w14:paraId="15B21100" w14:textId="423FFE8F" w:rsidTr="00082DBB">
        <w:trPr>
          <w:jc w:val="center"/>
        </w:trPr>
        <w:tc>
          <w:tcPr>
            <w:tcW w:w="1054" w:type="pct"/>
            <w:tcBorders>
              <w:top w:val="single" w:sz="8" w:space="0" w:color="auto"/>
              <w:bottom w:val="nil"/>
            </w:tcBorders>
            <w:vAlign w:val="center"/>
            <w:hideMark/>
          </w:tcPr>
          <w:p w14:paraId="6755945F" w14:textId="77777777" w:rsidR="002439DF" w:rsidRPr="00326708" w:rsidRDefault="002439DF">
            <w:pPr>
              <w:jc w:val="center"/>
              <w:rPr>
                <w:rFonts w:ascii="Arial" w:hAnsi="Arial" w:cs="Arial"/>
                <w:b/>
                <w:bCs/>
                <w:sz w:val="22"/>
                <w:szCs w:val="22"/>
              </w:rPr>
            </w:pPr>
            <w:r w:rsidRPr="00326708">
              <w:rPr>
                <w:rFonts w:ascii="Arial" w:hAnsi="Arial" w:cs="Arial"/>
                <w:b/>
                <w:bCs/>
                <w:sz w:val="22"/>
                <w:szCs w:val="22"/>
              </w:rPr>
              <w:t>Pello</w:t>
            </w:r>
          </w:p>
        </w:tc>
        <w:tc>
          <w:tcPr>
            <w:tcW w:w="1010" w:type="pct"/>
            <w:vMerge w:val="restart"/>
            <w:tcBorders>
              <w:top w:val="single" w:sz="8" w:space="0" w:color="auto"/>
              <w:bottom w:val="nil"/>
            </w:tcBorders>
            <w:vAlign w:val="center"/>
            <w:hideMark/>
          </w:tcPr>
          <w:p w14:paraId="5929E0DE" w14:textId="77777777" w:rsidR="002439DF" w:rsidRPr="00326708" w:rsidRDefault="002439DF">
            <w:pPr>
              <w:jc w:val="center"/>
              <w:rPr>
                <w:rFonts w:ascii="Arial" w:hAnsi="Arial" w:cs="Arial"/>
                <w:sz w:val="22"/>
                <w:szCs w:val="22"/>
              </w:rPr>
            </w:pPr>
            <w:r w:rsidRPr="00326708">
              <w:rPr>
                <w:rFonts w:ascii="Arial" w:hAnsi="Arial" w:cs="Arial"/>
                <w:sz w:val="22"/>
                <w:szCs w:val="22"/>
              </w:rPr>
              <w:t>19.5%</w:t>
            </w:r>
          </w:p>
        </w:tc>
        <w:tc>
          <w:tcPr>
            <w:tcW w:w="1386" w:type="pct"/>
            <w:tcBorders>
              <w:top w:val="single" w:sz="8" w:space="0" w:color="auto"/>
              <w:bottom w:val="nil"/>
            </w:tcBorders>
            <w:vAlign w:val="center"/>
            <w:hideMark/>
          </w:tcPr>
          <w:p w14:paraId="36A4951E" w14:textId="77777777" w:rsidR="002439DF" w:rsidRPr="00326708" w:rsidRDefault="002439DF">
            <w:pPr>
              <w:jc w:val="center"/>
              <w:rPr>
                <w:rFonts w:ascii="Arial" w:hAnsi="Arial" w:cs="Arial"/>
                <w:sz w:val="22"/>
                <w:szCs w:val="22"/>
              </w:rPr>
            </w:pPr>
            <w:r w:rsidRPr="00326708">
              <w:rPr>
                <w:rFonts w:ascii="Arial" w:hAnsi="Arial" w:cs="Arial"/>
                <w:sz w:val="22"/>
                <w:szCs w:val="22"/>
              </w:rPr>
              <w:t>10.5%</w:t>
            </w:r>
          </w:p>
        </w:tc>
        <w:tc>
          <w:tcPr>
            <w:tcW w:w="1550" w:type="pct"/>
            <w:tcBorders>
              <w:top w:val="single" w:sz="8" w:space="0" w:color="auto"/>
              <w:bottom w:val="nil"/>
            </w:tcBorders>
            <w:vAlign w:val="center"/>
            <w:hideMark/>
          </w:tcPr>
          <w:p w14:paraId="62F96C06" w14:textId="4CB89ADD" w:rsidR="002439DF" w:rsidRPr="00326708" w:rsidRDefault="002439DF">
            <w:pPr>
              <w:jc w:val="center"/>
              <w:rPr>
                <w:rFonts w:ascii="Arial" w:hAnsi="Arial" w:cs="Arial"/>
                <w:sz w:val="22"/>
                <w:szCs w:val="22"/>
              </w:rPr>
            </w:pPr>
            <w:r w:rsidRPr="00326708">
              <w:rPr>
                <w:rFonts w:ascii="Arial" w:hAnsi="Arial" w:cs="Arial"/>
                <w:sz w:val="22"/>
                <w:szCs w:val="22"/>
              </w:rPr>
              <w:t>1</w:t>
            </w:r>
            <w:r w:rsidR="00847FE2">
              <w:rPr>
                <w:rFonts w:ascii="Arial" w:hAnsi="Arial" w:cs="Arial"/>
                <w:sz w:val="22"/>
                <w:szCs w:val="22"/>
              </w:rPr>
              <w:t>2.0</w:t>
            </w:r>
            <w:r w:rsidRPr="00326708">
              <w:rPr>
                <w:rFonts w:ascii="Arial" w:hAnsi="Arial" w:cs="Arial"/>
                <w:sz w:val="22"/>
                <w:szCs w:val="22"/>
              </w:rPr>
              <w:t>%</w:t>
            </w:r>
          </w:p>
        </w:tc>
      </w:tr>
      <w:tr w:rsidR="002439DF" w:rsidRPr="00326708" w14:paraId="56BB8954" w14:textId="51943410" w:rsidTr="00082DBB">
        <w:trPr>
          <w:jc w:val="center"/>
        </w:trPr>
        <w:tc>
          <w:tcPr>
            <w:tcW w:w="1054" w:type="pct"/>
            <w:tcBorders>
              <w:top w:val="nil"/>
            </w:tcBorders>
            <w:vAlign w:val="center"/>
            <w:hideMark/>
          </w:tcPr>
          <w:p w14:paraId="6B42F946" w14:textId="77777777" w:rsidR="002439DF" w:rsidRPr="00326708" w:rsidRDefault="002439DF">
            <w:pPr>
              <w:jc w:val="center"/>
              <w:rPr>
                <w:rFonts w:ascii="Arial" w:hAnsi="Arial" w:cs="Arial"/>
                <w:b/>
                <w:bCs/>
                <w:sz w:val="22"/>
                <w:szCs w:val="22"/>
              </w:rPr>
            </w:pPr>
            <w:proofErr w:type="spellStart"/>
            <w:r w:rsidRPr="00326708">
              <w:rPr>
                <w:rFonts w:ascii="Arial" w:hAnsi="Arial" w:cs="Arial"/>
                <w:b/>
                <w:bCs/>
                <w:sz w:val="22"/>
                <w:szCs w:val="22"/>
              </w:rPr>
              <w:t>Merikarvia</w:t>
            </w:r>
            <w:proofErr w:type="spellEnd"/>
          </w:p>
        </w:tc>
        <w:tc>
          <w:tcPr>
            <w:tcW w:w="1010" w:type="pct"/>
            <w:vMerge/>
            <w:tcBorders>
              <w:top w:val="nil"/>
            </w:tcBorders>
            <w:vAlign w:val="center"/>
            <w:hideMark/>
          </w:tcPr>
          <w:p w14:paraId="0361EF30" w14:textId="77777777" w:rsidR="002439DF" w:rsidRPr="00326708" w:rsidRDefault="002439DF">
            <w:pPr>
              <w:rPr>
                <w:rFonts w:ascii="Arial" w:hAnsi="Arial" w:cs="Arial"/>
                <w:sz w:val="22"/>
                <w:szCs w:val="22"/>
              </w:rPr>
            </w:pPr>
          </w:p>
        </w:tc>
        <w:tc>
          <w:tcPr>
            <w:tcW w:w="1386" w:type="pct"/>
            <w:tcBorders>
              <w:top w:val="nil"/>
            </w:tcBorders>
            <w:vAlign w:val="center"/>
            <w:hideMark/>
          </w:tcPr>
          <w:p w14:paraId="5F21C88C" w14:textId="77777777" w:rsidR="002439DF" w:rsidRPr="00326708" w:rsidRDefault="002439DF">
            <w:pPr>
              <w:jc w:val="center"/>
              <w:rPr>
                <w:rFonts w:ascii="Arial" w:hAnsi="Arial" w:cs="Arial"/>
                <w:sz w:val="22"/>
                <w:szCs w:val="22"/>
              </w:rPr>
            </w:pPr>
            <w:r w:rsidRPr="00326708">
              <w:rPr>
                <w:rFonts w:ascii="Arial" w:hAnsi="Arial" w:cs="Arial"/>
                <w:sz w:val="22"/>
                <w:szCs w:val="22"/>
              </w:rPr>
              <w:t>20.9%</w:t>
            </w:r>
          </w:p>
        </w:tc>
        <w:tc>
          <w:tcPr>
            <w:tcW w:w="1550" w:type="pct"/>
            <w:tcBorders>
              <w:top w:val="nil"/>
            </w:tcBorders>
            <w:vAlign w:val="center"/>
            <w:hideMark/>
          </w:tcPr>
          <w:p w14:paraId="2E1780F9" w14:textId="666247A7" w:rsidR="002439DF" w:rsidRPr="00326708" w:rsidRDefault="004A58C9">
            <w:pPr>
              <w:jc w:val="center"/>
              <w:rPr>
                <w:rFonts w:ascii="Arial" w:hAnsi="Arial" w:cs="Arial"/>
                <w:sz w:val="22"/>
                <w:szCs w:val="22"/>
              </w:rPr>
            </w:pPr>
            <w:r>
              <w:rPr>
                <w:rFonts w:ascii="Arial" w:hAnsi="Arial" w:cs="Arial"/>
                <w:sz w:val="22"/>
                <w:szCs w:val="22"/>
              </w:rPr>
              <w:t>2</w:t>
            </w:r>
            <w:r w:rsidR="00847FE2">
              <w:rPr>
                <w:rFonts w:ascii="Arial" w:hAnsi="Arial" w:cs="Arial"/>
                <w:sz w:val="22"/>
                <w:szCs w:val="22"/>
              </w:rPr>
              <w:t>1.8</w:t>
            </w:r>
            <w:r w:rsidR="002439DF" w:rsidRPr="00326708">
              <w:rPr>
                <w:rFonts w:ascii="Arial" w:hAnsi="Arial" w:cs="Arial"/>
                <w:sz w:val="22"/>
                <w:szCs w:val="22"/>
              </w:rPr>
              <w:t>%</w:t>
            </w:r>
          </w:p>
        </w:tc>
      </w:tr>
      <w:tr w:rsidR="002439DF" w:rsidRPr="00326708" w14:paraId="0456B84C" w14:textId="789F1A42" w:rsidTr="00082DBB">
        <w:trPr>
          <w:jc w:val="center"/>
        </w:trPr>
        <w:tc>
          <w:tcPr>
            <w:tcW w:w="1054" w:type="pct"/>
            <w:vAlign w:val="center"/>
            <w:hideMark/>
          </w:tcPr>
          <w:p w14:paraId="7390302F" w14:textId="77777777" w:rsidR="002439DF" w:rsidRPr="00326708" w:rsidRDefault="002439DF">
            <w:pPr>
              <w:jc w:val="center"/>
              <w:rPr>
                <w:rFonts w:ascii="Arial" w:hAnsi="Arial" w:cs="Arial"/>
                <w:b/>
                <w:bCs/>
                <w:sz w:val="22"/>
                <w:szCs w:val="22"/>
              </w:rPr>
            </w:pPr>
            <w:proofErr w:type="spellStart"/>
            <w:r w:rsidRPr="00326708">
              <w:rPr>
                <w:rFonts w:ascii="Arial" w:hAnsi="Arial" w:cs="Arial"/>
                <w:b/>
                <w:bCs/>
                <w:sz w:val="22"/>
                <w:szCs w:val="22"/>
              </w:rPr>
              <w:t>Outokumpu</w:t>
            </w:r>
            <w:proofErr w:type="spellEnd"/>
          </w:p>
        </w:tc>
        <w:tc>
          <w:tcPr>
            <w:tcW w:w="1010" w:type="pct"/>
            <w:vMerge/>
            <w:vAlign w:val="center"/>
            <w:hideMark/>
          </w:tcPr>
          <w:p w14:paraId="7D955EA7" w14:textId="77777777" w:rsidR="002439DF" w:rsidRPr="00326708" w:rsidRDefault="002439DF">
            <w:pPr>
              <w:rPr>
                <w:rFonts w:ascii="Arial" w:hAnsi="Arial" w:cs="Arial"/>
                <w:sz w:val="22"/>
                <w:szCs w:val="22"/>
              </w:rPr>
            </w:pPr>
          </w:p>
        </w:tc>
        <w:tc>
          <w:tcPr>
            <w:tcW w:w="1386" w:type="pct"/>
            <w:vAlign w:val="center"/>
            <w:hideMark/>
          </w:tcPr>
          <w:p w14:paraId="665D15F1" w14:textId="77777777" w:rsidR="002439DF" w:rsidRPr="00326708" w:rsidRDefault="002439DF">
            <w:pPr>
              <w:jc w:val="center"/>
              <w:rPr>
                <w:rFonts w:ascii="Arial" w:hAnsi="Arial" w:cs="Arial"/>
                <w:sz w:val="22"/>
                <w:szCs w:val="22"/>
              </w:rPr>
            </w:pPr>
            <w:r w:rsidRPr="00326708">
              <w:rPr>
                <w:rFonts w:ascii="Arial" w:hAnsi="Arial" w:cs="Arial"/>
                <w:sz w:val="22"/>
                <w:szCs w:val="22"/>
              </w:rPr>
              <w:t>9.5%</w:t>
            </w:r>
          </w:p>
        </w:tc>
        <w:tc>
          <w:tcPr>
            <w:tcW w:w="1550" w:type="pct"/>
            <w:vAlign w:val="center"/>
            <w:hideMark/>
          </w:tcPr>
          <w:p w14:paraId="1C1FA056" w14:textId="74DDE312" w:rsidR="002439DF" w:rsidRPr="00326708" w:rsidRDefault="00847FE2">
            <w:pPr>
              <w:jc w:val="center"/>
              <w:rPr>
                <w:rFonts w:ascii="Arial" w:hAnsi="Arial" w:cs="Arial"/>
                <w:sz w:val="22"/>
                <w:szCs w:val="22"/>
              </w:rPr>
            </w:pPr>
            <w:r>
              <w:rPr>
                <w:rFonts w:ascii="Arial" w:hAnsi="Arial" w:cs="Arial"/>
                <w:sz w:val="22"/>
                <w:szCs w:val="22"/>
              </w:rPr>
              <w:t>19.8</w:t>
            </w:r>
            <w:r w:rsidR="002439DF" w:rsidRPr="00326708">
              <w:rPr>
                <w:rFonts w:ascii="Arial" w:hAnsi="Arial" w:cs="Arial"/>
                <w:sz w:val="22"/>
                <w:szCs w:val="22"/>
              </w:rPr>
              <w:t>%</w:t>
            </w:r>
          </w:p>
        </w:tc>
      </w:tr>
      <w:tr w:rsidR="002439DF" w:rsidRPr="00326708" w14:paraId="6945BA62" w14:textId="665A76E9" w:rsidTr="00082DBB">
        <w:trPr>
          <w:jc w:val="center"/>
        </w:trPr>
        <w:tc>
          <w:tcPr>
            <w:tcW w:w="1054" w:type="pct"/>
            <w:vAlign w:val="center"/>
            <w:hideMark/>
          </w:tcPr>
          <w:p w14:paraId="0DE8DFCE" w14:textId="77777777" w:rsidR="002439DF" w:rsidRPr="00326708" w:rsidRDefault="002439DF">
            <w:pPr>
              <w:jc w:val="center"/>
              <w:rPr>
                <w:rFonts w:ascii="Arial" w:hAnsi="Arial" w:cs="Arial"/>
                <w:b/>
                <w:bCs/>
                <w:sz w:val="22"/>
                <w:szCs w:val="22"/>
              </w:rPr>
            </w:pPr>
            <w:r w:rsidRPr="00326708">
              <w:rPr>
                <w:rFonts w:ascii="Arial" w:hAnsi="Arial" w:cs="Arial"/>
                <w:b/>
                <w:bCs/>
                <w:sz w:val="22"/>
                <w:szCs w:val="22"/>
              </w:rPr>
              <w:t>Heinola</w:t>
            </w:r>
          </w:p>
        </w:tc>
        <w:tc>
          <w:tcPr>
            <w:tcW w:w="1010" w:type="pct"/>
            <w:vMerge/>
            <w:vAlign w:val="center"/>
            <w:hideMark/>
          </w:tcPr>
          <w:p w14:paraId="39DE8B0C" w14:textId="77777777" w:rsidR="002439DF" w:rsidRPr="00326708" w:rsidRDefault="002439DF">
            <w:pPr>
              <w:rPr>
                <w:rFonts w:ascii="Arial" w:hAnsi="Arial" w:cs="Arial"/>
                <w:sz w:val="22"/>
                <w:szCs w:val="22"/>
              </w:rPr>
            </w:pPr>
          </w:p>
        </w:tc>
        <w:tc>
          <w:tcPr>
            <w:tcW w:w="1386" w:type="pct"/>
            <w:vAlign w:val="center"/>
            <w:hideMark/>
          </w:tcPr>
          <w:p w14:paraId="29892174" w14:textId="77777777" w:rsidR="002439DF" w:rsidRPr="00326708" w:rsidRDefault="002439DF">
            <w:pPr>
              <w:jc w:val="center"/>
              <w:rPr>
                <w:rFonts w:ascii="Arial" w:hAnsi="Arial" w:cs="Arial"/>
                <w:sz w:val="22"/>
                <w:szCs w:val="22"/>
              </w:rPr>
            </w:pPr>
            <w:r w:rsidRPr="00326708">
              <w:rPr>
                <w:rFonts w:ascii="Arial" w:hAnsi="Arial" w:cs="Arial"/>
                <w:sz w:val="22"/>
                <w:szCs w:val="22"/>
              </w:rPr>
              <w:t>19.3%</w:t>
            </w:r>
          </w:p>
        </w:tc>
        <w:tc>
          <w:tcPr>
            <w:tcW w:w="1550" w:type="pct"/>
            <w:vAlign w:val="center"/>
            <w:hideMark/>
          </w:tcPr>
          <w:p w14:paraId="0CD52DAB" w14:textId="51D4646D" w:rsidR="002439DF" w:rsidRPr="00326708" w:rsidRDefault="002439DF">
            <w:pPr>
              <w:jc w:val="center"/>
              <w:rPr>
                <w:rFonts w:ascii="Arial" w:hAnsi="Arial" w:cs="Arial"/>
                <w:sz w:val="22"/>
                <w:szCs w:val="22"/>
              </w:rPr>
            </w:pPr>
            <w:r w:rsidRPr="00326708">
              <w:rPr>
                <w:rFonts w:ascii="Arial" w:hAnsi="Arial" w:cs="Arial"/>
                <w:sz w:val="22"/>
                <w:szCs w:val="22"/>
              </w:rPr>
              <w:t>2</w:t>
            </w:r>
            <w:r w:rsidR="00847FE2">
              <w:rPr>
                <w:rFonts w:ascii="Arial" w:hAnsi="Arial" w:cs="Arial"/>
                <w:sz w:val="22"/>
                <w:szCs w:val="22"/>
              </w:rPr>
              <w:t>3.8</w:t>
            </w:r>
            <w:r w:rsidRPr="00326708">
              <w:rPr>
                <w:rFonts w:ascii="Arial" w:hAnsi="Arial" w:cs="Arial"/>
                <w:sz w:val="22"/>
                <w:szCs w:val="22"/>
              </w:rPr>
              <w:t>%</w:t>
            </w:r>
          </w:p>
        </w:tc>
      </w:tr>
      <w:tr w:rsidR="002439DF" w:rsidRPr="00326708" w14:paraId="301B3170" w14:textId="4690345C" w:rsidTr="00082DBB">
        <w:trPr>
          <w:jc w:val="center"/>
        </w:trPr>
        <w:tc>
          <w:tcPr>
            <w:tcW w:w="1054" w:type="pct"/>
            <w:tcBorders>
              <w:bottom w:val="single" w:sz="12" w:space="0" w:color="auto"/>
            </w:tcBorders>
            <w:vAlign w:val="center"/>
            <w:hideMark/>
          </w:tcPr>
          <w:p w14:paraId="330C2376" w14:textId="77777777" w:rsidR="002439DF" w:rsidRPr="00326708" w:rsidRDefault="002439DF">
            <w:pPr>
              <w:jc w:val="center"/>
              <w:rPr>
                <w:rFonts w:ascii="Arial" w:hAnsi="Arial" w:cs="Arial"/>
                <w:b/>
                <w:bCs/>
                <w:sz w:val="22"/>
                <w:szCs w:val="22"/>
              </w:rPr>
            </w:pPr>
            <w:proofErr w:type="spellStart"/>
            <w:r w:rsidRPr="00326708">
              <w:rPr>
                <w:rFonts w:ascii="Arial" w:hAnsi="Arial" w:cs="Arial"/>
                <w:b/>
                <w:bCs/>
                <w:sz w:val="22"/>
                <w:szCs w:val="22"/>
              </w:rPr>
              <w:t>Hyytiälä</w:t>
            </w:r>
            <w:proofErr w:type="spellEnd"/>
          </w:p>
        </w:tc>
        <w:tc>
          <w:tcPr>
            <w:tcW w:w="1010" w:type="pct"/>
            <w:vMerge/>
            <w:tcBorders>
              <w:bottom w:val="single" w:sz="12" w:space="0" w:color="auto"/>
            </w:tcBorders>
            <w:vAlign w:val="center"/>
            <w:hideMark/>
          </w:tcPr>
          <w:p w14:paraId="73B921E2" w14:textId="77777777" w:rsidR="002439DF" w:rsidRPr="00326708" w:rsidRDefault="002439DF">
            <w:pPr>
              <w:rPr>
                <w:rFonts w:ascii="Arial" w:hAnsi="Arial" w:cs="Arial"/>
                <w:sz w:val="22"/>
                <w:szCs w:val="22"/>
              </w:rPr>
            </w:pPr>
          </w:p>
        </w:tc>
        <w:tc>
          <w:tcPr>
            <w:tcW w:w="1386" w:type="pct"/>
            <w:tcBorders>
              <w:bottom w:val="single" w:sz="12" w:space="0" w:color="auto"/>
            </w:tcBorders>
            <w:vAlign w:val="center"/>
            <w:hideMark/>
          </w:tcPr>
          <w:p w14:paraId="2055C7E6" w14:textId="77777777" w:rsidR="002439DF" w:rsidRPr="00326708" w:rsidRDefault="002439DF">
            <w:pPr>
              <w:jc w:val="center"/>
              <w:rPr>
                <w:rFonts w:ascii="Arial" w:hAnsi="Arial" w:cs="Arial"/>
                <w:sz w:val="22"/>
                <w:szCs w:val="22"/>
              </w:rPr>
            </w:pPr>
            <w:r w:rsidRPr="00326708">
              <w:rPr>
                <w:rFonts w:ascii="Arial" w:hAnsi="Arial" w:cs="Arial"/>
                <w:sz w:val="22"/>
                <w:szCs w:val="22"/>
              </w:rPr>
              <w:t>13.3%</w:t>
            </w:r>
          </w:p>
        </w:tc>
        <w:tc>
          <w:tcPr>
            <w:tcW w:w="1550" w:type="pct"/>
            <w:tcBorders>
              <w:bottom w:val="single" w:sz="12" w:space="0" w:color="auto"/>
            </w:tcBorders>
            <w:vAlign w:val="center"/>
            <w:hideMark/>
          </w:tcPr>
          <w:p w14:paraId="15E29282" w14:textId="60B5D8EB" w:rsidR="002439DF" w:rsidRPr="00326708" w:rsidRDefault="002439DF">
            <w:pPr>
              <w:jc w:val="center"/>
              <w:rPr>
                <w:rFonts w:ascii="Arial" w:hAnsi="Arial" w:cs="Arial"/>
                <w:sz w:val="22"/>
                <w:szCs w:val="22"/>
              </w:rPr>
            </w:pPr>
            <w:r w:rsidRPr="00326708">
              <w:rPr>
                <w:rFonts w:ascii="Arial" w:hAnsi="Arial" w:cs="Arial"/>
                <w:sz w:val="22"/>
                <w:szCs w:val="22"/>
              </w:rPr>
              <w:t>1</w:t>
            </w:r>
            <w:r w:rsidR="00847FE2">
              <w:rPr>
                <w:rFonts w:ascii="Arial" w:hAnsi="Arial" w:cs="Arial"/>
                <w:sz w:val="22"/>
                <w:szCs w:val="22"/>
              </w:rPr>
              <w:t>8.8</w:t>
            </w:r>
            <w:r w:rsidRPr="00326708">
              <w:rPr>
                <w:rFonts w:ascii="Arial" w:hAnsi="Arial" w:cs="Arial"/>
                <w:sz w:val="22"/>
                <w:szCs w:val="22"/>
              </w:rPr>
              <w:t>%</w:t>
            </w:r>
          </w:p>
        </w:tc>
      </w:tr>
    </w:tbl>
    <w:p w14:paraId="1E444F9C" w14:textId="77777777" w:rsidR="00326708" w:rsidRDefault="00326708" w:rsidP="00326708">
      <w:pPr>
        <w:jc w:val="both"/>
        <w:rPr>
          <w:rFonts w:ascii="Arial" w:hAnsi="Arial" w:cs="Arial"/>
          <w:kern w:val="2"/>
          <w:sz w:val="22"/>
          <w:szCs w:val="22"/>
          <w14:ligatures w14:val="standardContextual"/>
        </w:rPr>
      </w:pPr>
    </w:p>
    <w:p w14:paraId="2FE0656E" w14:textId="77777777" w:rsidR="00326708" w:rsidRDefault="00326708" w:rsidP="005C638B">
      <w:pPr>
        <w:rPr>
          <w:rFonts w:ascii="Arial" w:hAnsi="Arial" w:cs="Arial"/>
          <w:b/>
          <w:bCs/>
          <w:sz w:val="22"/>
          <w:szCs w:val="22"/>
        </w:rPr>
      </w:pPr>
    </w:p>
    <w:p w14:paraId="74DD6DDF" w14:textId="452EA7EC" w:rsidR="00326708" w:rsidRDefault="00847FE2" w:rsidP="00326708">
      <w:pPr>
        <w:rPr>
          <w:rFonts w:ascii="Arial" w:hAnsi="Arial" w:cs="Arial"/>
          <w:sz w:val="22"/>
          <w:szCs w:val="22"/>
        </w:rPr>
      </w:pPr>
      <w:r>
        <w:rPr>
          <w:rFonts w:ascii="Arial" w:hAnsi="Arial" w:cs="Arial"/>
          <w:noProof/>
        </w:rPr>
        <w:drawing>
          <wp:inline distT="0" distB="0" distL="0" distR="0" wp14:anchorId="592D7599" wp14:editId="32CB880A">
            <wp:extent cx="5719445" cy="311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9445" cy="3114040"/>
                    </a:xfrm>
                    <a:prstGeom prst="rect">
                      <a:avLst/>
                    </a:prstGeom>
                    <a:noFill/>
                    <a:ln>
                      <a:noFill/>
                    </a:ln>
                  </pic:spPr>
                </pic:pic>
              </a:graphicData>
            </a:graphic>
          </wp:inline>
        </w:drawing>
      </w:r>
    </w:p>
    <w:p w14:paraId="6DCCEA83" w14:textId="77777777" w:rsidR="00326708" w:rsidRPr="00326708" w:rsidRDefault="00326708" w:rsidP="00E52E1A">
      <w:pPr>
        <w:jc w:val="center"/>
        <w:rPr>
          <w:rFonts w:ascii="Arial" w:hAnsi="Arial" w:cs="Arial"/>
          <w:sz w:val="22"/>
          <w:szCs w:val="22"/>
        </w:rPr>
      </w:pPr>
      <w:r w:rsidRPr="00326708">
        <w:rPr>
          <w:rFonts w:ascii="Arial" w:hAnsi="Arial" w:cs="Arial"/>
          <w:sz w:val="22"/>
          <w:szCs w:val="22"/>
        </w:rPr>
        <w:t>Figure 1. Effective LAI predicted by nationwide (left) and regional (right) models against observed counterparts.</w:t>
      </w:r>
    </w:p>
    <w:p w14:paraId="6832662F" w14:textId="77777777" w:rsidR="00326708" w:rsidRDefault="00326708" w:rsidP="005C638B">
      <w:pPr>
        <w:rPr>
          <w:rFonts w:ascii="Arial" w:hAnsi="Arial" w:cs="Arial"/>
          <w:b/>
          <w:bCs/>
          <w:sz w:val="22"/>
          <w:szCs w:val="22"/>
        </w:rPr>
      </w:pPr>
    </w:p>
    <w:p w14:paraId="0574FD6C" w14:textId="77777777" w:rsidR="00326708" w:rsidRDefault="00326708" w:rsidP="005C638B">
      <w:pPr>
        <w:rPr>
          <w:rFonts w:ascii="Arial" w:hAnsi="Arial" w:cs="Arial"/>
          <w:b/>
          <w:bCs/>
          <w:sz w:val="22"/>
          <w:szCs w:val="22"/>
        </w:rPr>
      </w:pPr>
    </w:p>
    <w:p w14:paraId="2AA1C219" w14:textId="77777777" w:rsidR="00326708" w:rsidRDefault="00326708" w:rsidP="005C638B">
      <w:pPr>
        <w:rPr>
          <w:rFonts w:ascii="Arial" w:hAnsi="Arial" w:cs="Arial"/>
          <w:b/>
          <w:bCs/>
          <w:sz w:val="22"/>
          <w:szCs w:val="22"/>
        </w:rPr>
      </w:pPr>
    </w:p>
    <w:p w14:paraId="5C062231" w14:textId="77777777" w:rsidR="00B3105E" w:rsidRPr="00B3105E" w:rsidRDefault="005C638B" w:rsidP="00B3105E">
      <w:pPr>
        <w:rPr>
          <w:rFonts w:ascii="Arial" w:hAnsi="Arial" w:cs="Arial"/>
          <w:b/>
          <w:bCs/>
          <w:sz w:val="22"/>
          <w:szCs w:val="22"/>
        </w:rPr>
      </w:pPr>
      <w:r w:rsidRPr="00B3105E">
        <w:rPr>
          <w:rFonts w:ascii="Arial" w:hAnsi="Arial" w:cs="Arial"/>
          <w:b/>
          <w:bCs/>
          <w:sz w:val="22"/>
          <w:szCs w:val="22"/>
        </w:rPr>
        <w:t>References</w:t>
      </w:r>
    </w:p>
    <w:p w14:paraId="0E8C58BB" w14:textId="77777777" w:rsidR="0057534F" w:rsidRDefault="005C638B" w:rsidP="0057534F">
      <w:pPr>
        <w:spacing w:after="60"/>
        <w:rPr>
          <w:rFonts w:ascii="Arial" w:hAnsi="Arial" w:cs="Arial"/>
          <w:color w:val="222222"/>
          <w:sz w:val="22"/>
          <w:szCs w:val="22"/>
          <w:shd w:val="clear" w:color="auto" w:fill="FFFFFF"/>
        </w:rPr>
      </w:pPr>
      <w:r w:rsidRPr="00E52E1A">
        <w:rPr>
          <w:rFonts w:ascii="Arial" w:hAnsi="Arial" w:cs="Arial"/>
          <w:color w:val="222222"/>
          <w:sz w:val="22"/>
          <w:szCs w:val="22"/>
          <w:shd w:val="clear" w:color="auto" w:fill="FFFFFF"/>
          <w:lang w:val="fi-FI"/>
        </w:rPr>
        <w:t xml:space="preserve">Kotivuori, E., Korhonen, L., &amp; Packalen, P. (2016). </w:t>
      </w:r>
      <w:r w:rsidRPr="00B3105E">
        <w:rPr>
          <w:rFonts w:ascii="Arial" w:hAnsi="Arial" w:cs="Arial"/>
          <w:color w:val="222222"/>
          <w:sz w:val="22"/>
          <w:szCs w:val="22"/>
          <w:shd w:val="clear" w:color="auto" w:fill="FFFFFF"/>
        </w:rPr>
        <w:t xml:space="preserve">Nationwide airborne laser scanning based models for volume, </w:t>
      </w:r>
      <w:proofErr w:type="gramStart"/>
      <w:r w:rsidRPr="00B3105E">
        <w:rPr>
          <w:rFonts w:ascii="Arial" w:hAnsi="Arial" w:cs="Arial"/>
          <w:color w:val="222222"/>
          <w:sz w:val="22"/>
          <w:szCs w:val="22"/>
          <w:shd w:val="clear" w:color="auto" w:fill="FFFFFF"/>
        </w:rPr>
        <w:t>biomass</w:t>
      </w:r>
      <w:proofErr w:type="gramEnd"/>
      <w:r w:rsidRPr="00B3105E">
        <w:rPr>
          <w:rFonts w:ascii="Arial" w:hAnsi="Arial" w:cs="Arial"/>
          <w:color w:val="222222"/>
          <w:sz w:val="22"/>
          <w:szCs w:val="22"/>
          <w:shd w:val="clear" w:color="auto" w:fill="FFFFFF"/>
        </w:rPr>
        <w:t xml:space="preserve"> and dominant height in Finland. </w:t>
      </w:r>
      <w:r w:rsidRPr="00B3105E">
        <w:rPr>
          <w:rFonts w:ascii="Arial" w:hAnsi="Arial" w:cs="Arial"/>
          <w:i/>
          <w:iCs/>
          <w:color w:val="222222"/>
          <w:sz w:val="22"/>
          <w:szCs w:val="22"/>
          <w:shd w:val="clear" w:color="auto" w:fill="FFFFFF"/>
        </w:rPr>
        <w:t xml:space="preserve">Silva </w:t>
      </w:r>
      <w:proofErr w:type="spellStart"/>
      <w:r w:rsidRPr="00B3105E">
        <w:rPr>
          <w:rFonts w:ascii="Arial" w:hAnsi="Arial" w:cs="Arial"/>
          <w:i/>
          <w:iCs/>
          <w:color w:val="222222"/>
          <w:sz w:val="22"/>
          <w:szCs w:val="22"/>
          <w:shd w:val="clear" w:color="auto" w:fill="FFFFFF"/>
        </w:rPr>
        <w:t>Fennica</w:t>
      </w:r>
      <w:proofErr w:type="spellEnd"/>
      <w:r w:rsidRPr="00B3105E">
        <w:rPr>
          <w:rFonts w:ascii="Arial" w:hAnsi="Arial" w:cs="Arial"/>
          <w:color w:val="222222"/>
          <w:sz w:val="22"/>
          <w:szCs w:val="22"/>
          <w:shd w:val="clear" w:color="auto" w:fill="FFFFFF"/>
        </w:rPr>
        <w:t>, </w:t>
      </w:r>
      <w:r w:rsidRPr="00B3105E">
        <w:rPr>
          <w:rFonts w:ascii="Arial" w:hAnsi="Arial" w:cs="Arial"/>
          <w:i/>
          <w:iCs/>
          <w:color w:val="222222"/>
          <w:sz w:val="22"/>
          <w:szCs w:val="22"/>
          <w:shd w:val="clear" w:color="auto" w:fill="FFFFFF"/>
        </w:rPr>
        <w:t>50</w:t>
      </w:r>
      <w:r w:rsidRPr="00B3105E">
        <w:rPr>
          <w:rFonts w:ascii="Arial" w:hAnsi="Arial" w:cs="Arial"/>
          <w:color w:val="222222"/>
          <w:sz w:val="22"/>
          <w:szCs w:val="22"/>
          <w:shd w:val="clear" w:color="auto" w:fill="FFFFFF"/>
        </w:rPr>
        <w:t>(4).</w:t>
      </w:r>
    </w:p>
    <w:p w14:paraId="632A3B4B" w14:textId="77777777" w:rsidR="0057534F" w:rsidRDefault="005C638B" w:rsidP="0057534F">
      <w:pPr>
        <w:spacing w:after="60"/>
        <w:rPr>
          <w:rFonts w:ascii="Arial" w:hAnsi="Arial" w:cs="Arial"/>
          <w:color w:val="222222"/>
          <w:sz w:val="22"/>
          <w:szCs w:val="22"/>
          <w:shd w:val="clear" w:color="auto" w:fill="FFFFFF"/>
        </w:rPr>
      </w:pPr>
      <w:r w:rsidRPr="0057534F">
        <w:rPr>
          <w:rFonts w:ascii="Arial" w:hAnsi="Arial" w:cs="Arial"/>
          <w:color w:val="222222"/>
          <w:sz w:val="22"/>
          <w:szCs w:val="22"/>
          <w:shd w:val="clear" w:color="auto" w:fill="FFFFFF"/>
          <w:lang w:val="fi-FI"/>
        </w:rPr>
        <w:t xml:space="preserve">Maltamo, M., Packalen, P., &amp; Kangas, A. (2021). </w:t>
      </w:r>
      <w:r w:rsidRPr="00B3105E">
        <w:rPr>
          <w:rFonts w:ascii="Arial" w:hAnsi="Arial" w:cs="Arial"/>
          <w:color w:val="222222"/>
          <w:sz w:val="22"/>
          <w:szCs w:val="22"/>
          <w:shd w:val="clear" w:color="auto" w:fill="FFFFFF"/>
        </w:rPr>
        <w:t>From comprehensive field inventories to remotely sensed wall-to-wall stand attribute data—a brief history of management inventories in the Nordic countries. </w:t>
      </w:r>
      <w:r w:rsidRPr="00B3105E">
        <w:rPr>
          <w:rFonts w:ascii="Arial" w:hAnsi="Arial" w:cs="Arial"/>
          <w:i/>
          <w:iCs/>
          <w:color w:val="222222"/>
          <w:sz w:val="22"/>
          <w:szCs w:val="22"/>
          <w:shd w:val="clear" w:color="auto" w:fill="FFFFFF"/>
        </w:rPr>
        <w:t>Canadian Journal of Forest Research</w:t>
      </w:r>
      <w:r w:rsidRPr="00B3105E">
        <w:rPr>
          <w:rFonts w:ascii="Arial" w:hAnsi="Arial" w:cs="Arial"/>
          <w:color w:val="222222"/>
          <w:sz w:val="22"/>
          <w:szCs w:val="22"/>
          <w:shd w:val="clear" w:color="auto" w:fill="FFFFFF"/>
        </w:rPr>
        <w:t>, </w:t>
      </w:r>
      <w:r w:rsidRPr="00B3105E">
        <w:rPr>
          <w:rFonts w:ascii="Arial" w:hAnsi="Arial" w:cs="Arial"/>
          <w:i/>
          <w:iCs/>
          <w:color w:val="222222"/>
          <w:sz w:val="22"/>
          <w:szCs w:val="22"/>
          <w:shd w:val="clear" w:color="auto" w:fill="FFFFFF"/>
        </w:rPr>
        <w:t>51</w:t>
      </w:r>
      <w:r w:rsidRPr="00B3105E">
        <w:rPr>
          <w:rFonts w:ascii="Arial" w:hAnsi="Arial" w:cs="Arial"/>
          <w:color w:val="222222"/>
          <w:sz w:val="22"/>
          <w:szCs w:val="22"/>
          <w:shd w:val="clear" w:color="auto" w:fill="FFFFFF"/>
        </w:rPr>
        <w:t>(2), 257-266.</w:t>
      </w:r>
    </w:p>
    <w:p w14:paraId="5044228E" w14:textId="36472A30" w:rsidR="0057534F" w:rsidRDefault="005C638B" w:rsidP="0057534F">
      <w:pPr>
        <w:spacing w:after="60"/>
        <w:rPr>
          <w:rFonts w:ascii="Arial" w:hAnsi="Arial" w:cs="Arial"/>
          <w:color w:val="222222"/>
          <w:sz w:val="22"/>
          <w:szCs w:val="22"/>
          <w:shd w:val="clear" w:color="auto" w:fill="FFFFFF"/>
        </w:rPr>
      </w:pPr>
      <w:r w:rsidRPr="00B3105E">
        <w:rPr>
          <w:rFonts w:ascii="Arial" w:hAnsi="Arial" w:cs="Arial"/>
          <w:color w:val="222222"/>
          <w:sz w:val="22"/>
          <w:szCs w:val="22"/>
          <w:shd w:val="clear" w:color="auto" w:fill="FFFFFF"/>
        </w:rPr>
        <w:t xml:space="preserve">Ryu, Y., Baldocchi, D. D., Kobayashi, H., Van Ingen, C., Li, J., Black, T. A., ... &amp; </w:t>
      </w:r>
      <w:proofErr w:type="spellStart"/>
      <w:r w:rsidRPr="00B3105E">
        <w:rPr>
          <w:rFonts w:ascii="Arial" w:hAnsi="Arial" w:cs="Arial"/>
          <w:color w:val="222222"/>
          <w:sz w:val="22"/>
          <w:szCs w:val="22"/>
          <w:shd w:val="clear" w:color="auto" w:fill="FFFFFF"/>
        </w:rPr>
        <w:t>Roupsard</w:t>
      </w:r>
      <w:proofErr w:type="spellEnd"/>
      <w:r w:rsidRPr="00B3105E">
        <w:rPr>
          <w:rFonts w:ascii="Arial" w:hAnsi="Arial" w:cs="Arial"/>
          <w:color w:val="222222"/>
          <w:sz w:val="22"/>
          <w:szCs w:val="22"/>
          <w:shd w:val="clear" w:color="auto" w:fill="FFFFFF"/>
        </w:rPr>
        <w:t>, O. (2011). Integration of MODIS land and atmosphere products with a coupled</w:t>
      </w:r>
      <w:r w:rsidRPr="00B3105E">
        <w:rPr>
          <w:rFonts w:ascii="Cambria Math" w:hAnsi="Cambria Math" w:cs="Cambria Math"/>
          <w:color w:val="222222"/>
          <w:sz w:val="22"/>
          <w:szCs w:val="22"/>
          <w:shd w:val="clear" w:color="auto" w:fill="FFFFFF"/>
        </w:rPr>
        <w:t>‐</w:t>
      </w:r>
      <w:r w:rsidRPr="00B3105E">
        <w:rPr>
          <w:rFonts w:ascii="Arial" w:hAnsi="Arial" w:cs="Arial"/>
          <w:color w:val="222222"/>
          <w:sz w:val="22"/>
          <w:szCs w:val="22"/>
          <w:shd w:val="clear" w:color="auto" w:fill="FFFFFF"/>
        </w:rPr>
        <w:t>process model to estimate gross primary productivity and evapotranspiration from 1 km to global scales. </w:t>
      </w:r>
      <w:r w:rsidRPr="00B3105E">
        <w:rPr>
          <w:rFonts w:ascii="Arial" w:hAnsi="Arial" w:cs="Arial"/>
          <w:i/>
          <w:iCs/>
          <w:color w:val="222222"/>
          <w:sz w:val="22"/>
          <w:szCs w:val="22"/>
          <w:shd w:val="clear" w:color="auto" w:fill="FFFFFF"/>
        </w:rPr>
        <w:t>Global Biogeochemical Cycles</w:t>
      </w:r>
      <w:r w:rsidRPr="00B3105E">
        <w:rPr>
          <w:rFonts w:ascii="Arial" w:hAnsi="Arial" w:cs="Arial"/>
          <w:color w:val="222222"/>
          <w:sz w:val="22"/>
          <w:szCs w:val="22"/>
          <w:shd w:val="clear" w:color="auto" w:fill="FFFFFF"/>
        </w:rPr>
        <w:t>, </w:t>
      </w:r>
      <w:r w:rsidRPr="00B3105E">
        <w:rPr>
          <w:rFonts w:ascii="Arial" w:hAnsi="Arial" w:cs="Arial"/>
          <w:i/>
          <w:iCs/>
          <w:color w:val="222222"/>
          <w:sz w:val="22"/>
          <w:szCs w:val="22"/>
          <w:shd w:val="clear" w:color="auto" w:fill="FFFFFF"/>
        </w:rPr>
        <w:t>25</w:t>
      </w:r>
      <w:r w:rsidRPr="00B3105E">
        <w:rPr>
          <w:rFonts w:ascii="Arial" w:hAnsi="Arial" w:cs="Arial"/>
          <w:color w:val="222222"/>
          <w:sz w:val="22"/>
          <w:szCs w:val="22"/>
          <w:shd w:val="clear" w:color="auto" w:fill="FFFFFF"/>
        </w:rPr>
        <w:t>(4).</w:t>
      </w:r>
    </w:p>
    <w:p w14:paraId="2E779CAE" w14:textId="37263821" w:rsidR="005C638B" w:rsidRPr="0057534F" w:rsidRDefault="005C638B" w:rsidP="0057534F">
      <w:pPr>
        <w:spacing w:after="60"/>
        <w:jc w:val="both"/>
        <w:rPr>
          <w:rFonts w:ascii="Arial" w:hAnsi="Arial" w:cs="Arial"/>
          <w:color w:val="222222"/>
          <w:sz w:val="22"/>
          <w:szCs w:val="22"/>
          <w:shd w:val="clear" w:color="auto" w:fill="FFFFFF"/>
        </w:rPr>
      </w:pPr>
      <w:r w:rsidRPr="00B3105E">
        <w:rPr>
          <w:rFonts w:ascii="Arial" w:hAnsi="Arial" w:cs="Arial"/>
          <w:color w:val="222222"/>
          <w:sz w:val="22"/>
          <w:szCs w:val="22"/>
          <w:shd w:val="clear" w:color="auto" w:fill="FFFFFF"/>
        </w:rPr>
        <w:t xml:space="preserve">Solberg, S., Brunner, A., Hanssen, K. H., Lange, H., </w:t>
      </w:r>
      <w:proofErr w:type="spellStart"/>
      <w:r w:rsidRPr="00B3105E">
        <w:rPr>
          <w:rFonts w:ascii="Arial" w:hAnsi="Arial" w:cs="Arial"/>
          <w:color w:val="222222"/>
          <w:sz w:val="22"/>
          <w:szCs w:val="22"/>
          <w:shd w:val="clear" w:color="auto" w:fill="FFFFFF"/>
        </w:rPr>
        <w:t>Næsset</w:t>
      </w:r>
      <w:proofErr w:type="spellEnd"/>
      <w:r w:rsidRPr="00B3105E">
        <w:rPr>
          <w:rFonts w:ascii="Arial" w:hAnsi="Arial" w:cs="Arial"/>
          <w:color w:val="222222"/>
          <w:sz w:val="22"/>
          <w:szCs w:val="22"/>
          <w:shd w:val="clear" w:color="auto" w:fill="FFFFFF"/>
        </w:rPr>
        <w:t>, E., Rautiainen, M., &amp; Stenberg, P. (2009). Mapping LAI in a Norway spruce forest using airborne laser scanning. </w:t>
      </w:r>
      <w:r w:rsidRPr="00B3105E">
        <w:rPr>
          <w:rFonts w:ascii="Arial" w:hAnsi="Arial" w:cs="Arial"/>
          <w:i/>
          <w:iCs/>
          <w:color w:val="222222"/>
          <w:sz w:val="22"/>
          <w:szCs w:val="22"/>
          <w:shd w:val="clear" w:color="auto" w:fill="FFFFFF"/>
        </w:rPr>
        <w:t>Remote Sensing of Environment</w:t>
      </w:r>
      <w:r w:rsidRPr="00B3105E">
        <w:rPr>
          <w:rFonts w:ascii="Arial" w:hAnsi="Arial" w:cs="Arial"/>
          <w:color w:val="222222"/>
          <w:sz w:val="22"/>
          <w:szCs w:val="22"/>
          <w:shd w:val="clear" w:color="auto" w:fill="FFFFFF"/>
        </w:rPr>
        <w:t>, </w:t>
      </w:r>
      <w:r w:rsidRPr="00B3105E">
        <w:rPr>
          <w:rFonts w:ascii="Arial" w:hAnsi="Arial" w:cs="Arial"/>
          <w:i/>
          <w:iCs/>
          <w:color w:val="222222"/>
          <w:sz w:val="22"/>
          <w:szCs w:val="22"/>
          <w:shd w:val="clear" w:color="auto" w:fill="FFFFFF"/>
        </w:rPr>
        <w:t>113</w:t>
      </w:r>
      <w:r w:rsidRPr="00B3105E">
        <w:rPr>
          <w:rFonts w:ascii="Arial" w:hAnsi="Arial" w:cs="Arial"/>
          <w:color w:val="222222"/>
          <w:sz w:val="22"/>
          <w:szCs w:val="22"/>
          <w:shd w:val="clear" w:color="auto" w:fill="FFFFFF"/>
        </w:rPr>
        <w:t>(11), 2317-2327.</w:t>
      </w:r>
    </w:p>
    <w:p w14:paraId="5BD97AD8" w14:textId="77777777" w:rsidR="005C638B" w:rsidRPr="005C638B" w:rsidRDefault="005C638B" w:rsidP="005C638B">
      <w:pPr>
        <w:rPr>
          <w:rFonts w:ascii="Arial" w:hAnsi="Arial" w:cs="Arial"/>
          <w:sz w:val="20"/>
          <w:szCs w:val="20"/>
        </w:rPr>
      </w:pPr>
    </w:p>
    <w:sectPr w:rsidR="005C638B" w:rsidRPr="005C638B" w:rsidSect="007A69A8">
      <w:pgSz w:w="11906" w:h="16838"/>
      <w:pgMar w:top="1440" w:right="1440" w:bottom="170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82DBB"/>
    <w:rsid w:val="000A6B5B"/>
    <w:rsid w:val="000F488C"/>
    <w:rsid w:val="001564A4"/>
    <w:rsid w:val="001707AB"/>
    <w:rsid w:val="001D7147"/>
    <w:rsid w:val="001F0AC4"/>
    <w:rsid w:val="002439DF"/>
    <w:rsid w:val="002654B3"/>
    <w:rsid w:val="00266943"/>
    <w:rsid w:val="002D6173"/>
    <w:rsid w:val="00326708"/>
    <w:rsid w:val="00365800"/>
    <w:rsid w:val="003B3541"/>
    <w:rsid w:val="003E6A15"/>
    <w:rsid w:val="003F6F51"/>
    <w:rsid w:val="00420305"/>
    <w:rsid w:val="004A58C9"/>
    <w:rsid w:val="00505429"/>
    <w:rsid w:val="0051178E"/>
    <w:rsid w:val="0051574E"/>
    <w:rsid w:val="00542B96"/>
    <w:rsid w:val="005673D0"/>
    <w:rsid w:val="0057534F"/>
    <w:rsid w:val="00582D13"/>
    <w:rsid w:val="005C638B"/>
    <w:rsid w:val="00757187"/>
    <w:rsid w:val="007A08A2"/>
    <w:rsid w:val="007A69A8"/>
    <w:rsid w:val="007E3130"/>
    <w:rsid w:val="00847FE2"/>
    <w:rsid w:val="00860B83"/>
    <w:rsid w:val="008803FA"/>
    <w:rsid w:val="008B54E1"/>
    <w:rsid w:val="0090116B"/>
    <w:rsid w:val="00927194"/>
    <w:rsid w:val="00987BF8"/>
    <w:rsid w:val="009D65DC"/>
    <w:rsid w:val="00A44A96"/>
    <w:rsid w:val="00B12E32"/>
    <w:rsid w:val="00B267E3"/>
    <w:rsid w:val="00B3105E"/>
    <w:rsid w:val="00B808C3"/>
    <w:rsid w:val="00BC45E6"/>
    <w:rsid w:val="00CF7FFC"/>
    <w:rsid w:val="00D91512"/>
    <w:rsid w:val="00E0700F"/>
    <w:rsid w:val="00E52E1A"/>
    <w:rsid w:val="00ED606A"/>
    <w:rsid w:val="00EF2005"/>
    <w:rsid w:val="00F25464"/>
    <w:rsid w:val="00F441E1"/>
    <w:rsid w:val="00F63AD5"/>
    <w:rsid w:val="00F73B12"/>
    <w:rsid w:val="00FB0C84"/>
    <w:rsid w:val="00FC28D3"/>
    <w:rsid w:val="00FC28E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326708"/>
    <w:rPr>
      <w:sz w:val="16"/>
      <w:szCs w:val="16"/>
    </w:rPr>
  </w:style>
  <w:style w:type="paragraph" w:styleId="CommentText">
    <w:name w:val="annotation text"/>
    <w:basedOn w:val="Normal"/>
    <w:link w:val="CommentTextChar"/>
    <w:uiPriority w:val="99"/>
    <w:unhideWhenUsed/>
    <w:rsid w:val="00326708"/>
    <w:rPr>
      <w:sz w:val="20"/>
      <w:szCs w:val="20"/>
    </w:rPr>
  </w:style>
  <w:style w:type="character" w:customStyle="1" w:styleId="CommentTextChar">
    <w:name w:val="Comment Text Char"/>
    <w:basedOn w:val="DefaultParagraphFont"/>
    <w:link w:val="CommentText"/>
    <w:uiPriority w:val="99"/>
    <w:rsid w:val="00326708"/>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326708"/>
    <w:rPr>
      <w:b/>
      <w:bCs/>
    </w:rPr>
  </w:style>
  <w:style w:type="character" w:customStyle="1" w:styleId="CommentSubjectChar">
    <w:name w:val="Comment Subject Char"/>
    <w:basedOn w:val="CommentTextChar"/>
    <w:link w:val="CommentSubject"/>
    <w:uiPriority w:val="99"/>
    <w:semiHidden/>
    <w:rsid w:val="00326708"/>
    <w:rPr>
      <w:rFonts w:ascii="Times New Roman" w:eastAsia="Times New Roman" w:hAnsi="Times New Roman" w:cs="Times New Roman"/>
      <w:b/>
      <w:bCs/>
      <w:lang w:val="en-GB"/>
    </w:rPr>
  </w:style>
  <w:style w:type="table" w:styleId="TableGrid">
    <w:name w:val="Table Grid"/>
    <w:basedOn w:val="TableNormal"/>
    <w:uiPriority w:val="39"/>
    <w:rsid w:val="00326708"/>
    <w:rPr>
      <w:rFonts w:asciiTheme="minorHAnsi" w:eastAsiaTheme="minorEastAsia" w:hAnsiTheme="minorHAnsi"/>
      <w:kern w:val="2"/>
      <w:sz w:val="22"/>
      <w:szCs w:val="22"/>
      <w:lang w:val="fi-FI" w:eastAsia="zh-C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0C8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443025">
      <w:bodyDiv w:val="1"/>
      <w:marLeft w:val="0"/>
      <w:marRight w:val="0"/>
      <w:marTop w:val="0"/>
      <w:marBottom w:val="0"/>
      <w:divBdr>
        <w:top w:val="none" w:sz="0" w:space="0" w:color="auto"/>
        <w:left w:val="none" w:sz="0" w:space="0" w:color="auto"/>
        <w:bottom w:val="none" w:sz="0" w:space="0" w:color="auto"/>
        <w:right w:val="none" w:sz="0" w:space="0" w:color="auto"/>
      </w:divBdr>
    </w:div>
    <w:div w:id="9968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cab52c9b-ab33-4221-8af9-54f8f2b86a80"/>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6911e96c-4cc4-42d5-8e43-f93924cf6a05"/>
    <ds:schemaRef ds:uri="http://schemas.microsoft.com/office/2006/metadata/properties"/>
    <ds:schemaRef ds:uri="http://schemas.microsoft.com/office/infopath/2007/PartnerControls"/>
    <ds:schemaRef ds:uri="9c8a2b7b-0bee-4c48-b0a6-23db8982d3bc"/>
    <ds:schemaRef ds:uri="http://purl.org/dc/dcmitype/"/>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2024-03-15T02:35:00Z</dcterms:created>
  <dcterms:modified xsi:type="dcterms:W3CDTF">2024-03-15T02:35:00Z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