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8CB3" w14:textId="77777777" w:rsidR="00EA0DDB" w:rsidRPr="00EA0DDB" w:rsidRDefault="00EA0DDB" w:rsidP="00EA0DDB">
      <w:pPr>
        <w:rPr>
          <w:rFonts w:ascii="Arial" w:hAnsi="Arial" w:cs="Arial"/>
          <w:color w:val="000000" w:themeColor="text1"/>
        </w:rPr>
      </w:pPr>
      <w:r w:rsidRPr="00EA0DDB">
        <w:rPr>
          <w:rFonts w:ascii="Arial" w:hAnsi="Arial" w:cs="Arial"/>
          <w:color w:val="000000" w:themeColor="text1"/>
        </w:rPr>
        <w:t>Cardiovascular–Kidney–Metabolic Syndrome in Young and Middle-Aged Adults: Global Burden, Inequalities, and Future Trends from GBD 2021</w:t>
      </w:r>
    </w:p>
    <w:p w14:paraId="33E3CC90" w14:textId="77777777" w:rsidR="00EA0DDB" w:rsidRPr="00EA0DDB" w:rsidRDefault="00EA0DDB" w:rsidP="008427FA">
      <w:pPr>
        <w:rPr>
          <w:rFonts w:ascii="Arial" w:hAnsi="Arial" w:cs="Arial"/>
        </w:rPr>
      </w:pPr>
    </w:p>
    <w:p w14:paraId="4D862845" w14:textId="298E6B09" w:rsidR="00EA0DDB" w:rsidRPr="00EA0DDB" w:rsidRDefault="00EA0DDB" w:rsidP="00EA0DDB">
      <w:pPr>
        <w:rPr>
          <w:rFonts w:ascii="Arial" w:hAnsi="Arial" w:cs="Arial"/>
          <w:color w:val="000000" w:themeColor="text1"/>
        </w:rPr>
      </w:pPr>
      <w:r w:rsidRPr="00EA0DDB">
        <w:rPr>
          <w:rFonts w:ascii="Arial" w:hAnsi="Arial" w:cs="Arial"/>
          <w:b/>
          <w:bCs/>
          <w:color w:val="000000" w:themeColor="text1"/>
        </w:rPr>
        <w:t>A</w:t>
      </w:r>
      <w:r w:rsidRPr="00EA0DDB">
        <w:rPr>
          <w:rFonts w:ascii="Arial" w:hAnsi="Arial" w:cs="Arial"/>
          <w:b/>
          <w:bCs/>
          <w:color w:val="000000" w:themeColor="text1"/>
        </w:rPr>
        <w:t>ims:</w:t>
      </w:r>
      <w:r w:rsidRPr="00EA0DDB">
        <w:rPr>
          <w:rFonts w:ascii="Arial" w:hAnsi="Arial" w:cs="Arial"/>
          <w:color w:val="000000" w:themeColor="text1"/>
        </w:rPr>
        <w:t xml:space="preserve"> Cardiovascular–kidney–metabolic (CKM) syndrome captures the interconnected continuum of metabolic risk, chronic kidney disease, and cardiovascular disease. We quantified the global burden, inequalities, and future trends of CKM-related conditions among adults aged 20–54 years.</w:t>
      </w:r>
    </w:p>
    <w:p w14:paraId="2EC3B336" w14:textId="77777777" w:rsidR="00EA0DDB" w:rsidRPr="00EA0DDB" w:rsidRDefault="00EA0DDB" w:rsidP="00EA0DDB">
      <w:pPr>
        <w:rPr>
          <w:rFonts w:ascii="Arial" w:hAnsi="Arial" w:cs="Arial"/>
          <w:color w:val="000000" w:themeColor="text1"/>
        </w:rPr>
      </w:pPr>
      <w:r w:rsidRPr="00EA0DDB">
        <w:rPr>
          <w:rFonts w:ascii="Arial" w:hAnsi="Arial" w:cs="Arial"/>
          <w:b/>
          <w:bCs/>
          <w:color w:val="000000" w:themeColor="text1"/>
        </w:rPr>
        <w:t>Methods:</w:t>
      </w:r>
      <w:r w:rsidRPr="00EA0DDB">
        <w:rPr>
          <w:rFonts w:ascii="Arial" w:hAnsi="Arial" w:cs="Arial"/>
          <w:color w:val="000000" w:themeColor="text1"/>
        </w:rPr>
        <w:t xml:space="preserve"> Using estimates from the Global Burden of Disease (GBD) 2021 study, we assessed incidence, mortality, prevalence, years lived with disability (YLDs), and disability-adjusted life years (DALYs) for five metabolic risk factors, seven CKM core diseases, and heart failure from 1990 to 2021. We examined patterns by age, sex, Socio-demographic Index (SDI), and geography; quantified inequalities; and projected future burden to 2050 using a Bayesian age–period–cohort model.</w:t>
      </w:r>
    </w:p>
    <w:p w14:paraId="24BEF7C9" w14:textId="77777777" w:rsidR="00EA0DDB" w:rsidRPr="00EA0DDB" w:rsidRDefault="00EA0DDB" w:rsidP="00EA0DDB">
      <w:pPr>
        <w:rPr>
          <w:rFonts w:ascii="Arial" w:hAnsi="Arial" w:cs="Arial"/>
          <w:color w:val="000000" w:themeColor="text1"/>
        </w:rPr>
      </w:pPr>
      <w:r w:rsidRPr="00EA0DDB">
        <w:rPr>
          <w:rFonts w:ascii="Arial" w:hAnsi="Arial" w:cs="Arial"/>
          <w:b/>
          <w:bCs/>
          <w:color w:val="000000" w:themeColor="text1"/>
        </w:rPr>
        <w:t>Results:</w:t>
      </w:r>
      <w:r w:rsidRPr="00EA0DDB">
        <w:rPr>
          <w:rFonts w:ascii="Arial" w:hAnsi="Arial" w:cs="Arial"/>
          <w:color w:val="000000" w:themeColor="text1"/>
        </w:rPr>
        <w:t xml:space="preserve"> From 1990 to 2021, global DALYs attributable to metabolic risk factors increased from 66.31 to 113.86 million, despite a decline in the age-standardized DALY rate (EAPC –0.33 (-0.37, -0.29)). High body-mass index and high systolic blood pressure were the leading metabolic risks, while ischemic heart disease and stroke remained the dominant core diseases. In contrast, type 2 diabetes and heart failure continued to rise (EAPC 1.42 (1.37, 1.47) and 0.47 (0.43, 0.51), respectively). Men consistently had higher burdens than women, and younger adults (20–35 years) showed notable increases in obesity- and glucose-related burden. Burden was inversely associated with SDI, with the highest levels and slowest declines in low-SDI regions. Projections to 2050 suggest a further increase in overall burden, with growing contributions from obesity- and glucose-related risks and rising heart failure burden attributable to chronic kidney disease and stroke.</w:t>
      </w:r>
    </w:p>
    <w:p w14:paraId="4D349357" w14:textId="77777777" w:rsidR="00EA0DDB" w:rsidRPr="00EA0DDB" w:rsidRDefault="00EA0DDB" w:rsidP="00EA0DDB">
      <w:pPr>
        <w:rPr>
          <w:rFonts w:ascii="Arial" w:hAnsi="Arial" w:cs="Arial"/>
          <w:color w:val="000000" w:themeColor="text1"/>
        </w:rPr>
      </w:pPr>
      <w:r w:rsidRPr="00EA0DDB">
        <w:rPr>
          <w:rFonts w:ascii="Arial" w:hAnsi="Arial" w:cs="Arial"/>
          <w:b/>
          <w:bCs/>
          <w:color w:val="000000" w:themeColor="text1"/>
        </w:rPr>
        <w:t>Conclusions:</w:t>
      </w:r>
      <w:r w:rsidRPr="00EA0DDB">
        <w:rPr>
          <w:rFonts w:ascii="Arial" w:hAnsi="Arial" w:cs="Arial"/>
          <w:color w:val="000000" w:themeColor="text1"/>
        </w:rPr>
        <w:t xml:space="preserve"> CKM-related burden in young and middle-aged adults is increasingly shaped by a metabolic-driven risk transition, widening socioeconomic inequalities, and an adverse future trajectory. Integrated strategies prioritizing obesity, hypertension, and </w:t>
      </w:r>
      <w:proofErr w:type="spellStart"/>
      <w:r w:rsidRPr="00EA0DDB">
        <w:rPr>
          <w:rFonts w:ascii="Arial" w:hAnsi="Arial" w:cs="Arial"/>
          <w:color w:val="000000" w:themeColor="text1"/>
        </w:rPr>
        <w:t>dysglycemia</w:t>
      </w:r>
      <w:proofErr w:type="spellEnd"/>
      <w:r w:rsidRPr="00EA0DDB">
        <w:rPr>
          <w:rFonts w:ascii="Arial" w:hAnsi="Arial" w:cs="Arial"/>
          <w:color w:val="000000" w:themeColor="text1"/>
        </w:rPr>
        <w:t xml:space="preserve"> control, together with coordinated cardio–renal–metabolic prevention, are urgently needed to mitigate the projected burden.</w:t>
      </w:r>
    </w:p>
    <w:p w14:paraId="0EFF133E" w14:textId="77777777" w:rsidR="008427FA" w:rsidRPr="00EA0DDB" w:rsidRDefault="008427FA" w:rsidP="008427FA">
      <w:pPr>
        <w:rPr>
          <w:rFonts w:ascii="Arial" w:hAnsi="Arial" w:cs="Arial"/>
        </w:rPr>
      </w:pP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4E09DD"/>
    <w:rsid w:val="007244F0"/>
    <w:rsid w:val="00830A4D"/>
    <w:rsid w:val="008427FA"/>
    <w:rsid w:val="008953CF"/>
    <w:rsid w:val="009A582D"/>
    <w:rsid w:val="009D79DB"/>
    <w:rsid w:val="00A85759"/>
    <w:rsid w:val="00BC73E4"/>
    <w:rsid w:val="00D56368"/>
    <w:rsid w:val="00DD0D64"/>
    <w:rsid w:val="00EA0DD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AC92-4497-448F-8A03-839AC5A6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Microsoft Office User</cp:lastModifiedBy>
  <cp:revision>3</cp:revision>
  <dcterms:created xsi:type="dcterms:W3CDTF">2025-01-19T22:30:00Z</dcterms:created>
  <dcterms:modified xsi:type="dcterms:W3CDTF">2026-02-16T12:19:00Z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