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0"/>
      </w:tblGrid>
      <w:tr w:rsidR="001564A4" w:rsidRPr="0050053A" w14:paraId="5C38377B" w14:textId="77777777" w:rsidTr="00837532">
        <w:trPr>
          <w:trHeight w:val="746"/>
          <w:jc w:val="center"/>
        </w:trPr>
        <w:tc>
          <w:tcPr>
            <w:tcW w:w="8940" w:type="dxa"/>
            <w:shd w:val="clear" w:color="auto" w:fill="auto"/>
          </w:tcPr>
          <w:p w14:paraId="5C44F357" w14:textId="48E33383" w:rsidR="001564A4" w:rsidRPr="0050053A" w:rsidRDefault="009C680E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Lung clearance index </w:t>
            </w:r>
            <w:r w:rsidR="004D3D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is elevated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in children </w:t>
            </w:r>
            <w:r w:rsidR="004D3D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and adolescents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with bronchiectasis</w:t>
            </w:r>
          </w:p>
        </w:tc>
      </w:tr>
      <w:tr w:rsidR="001564A4" w:rsidRPr="0050053A" w14:paraId="0E2E035C" w14:textId="77777777" w:rsidTr="00837532">
        <w:trPr>
          <w:trHeight w:val="757"/>
          <w:jc w:val="center"/>
        </w:trPr>
        <w:tc>
          <w:tcPr>
            <w:tcW w:w="8940" w:type="dxa"/>
            <w:shd w:val="clear" w:color="auto" w:fill="auto"/>
          </w:tcPr>
          <w:p w14:paraId="73B55295" w14:textId="7E8CBCD7" w:rsidR="001564A4" w:rsidRPr="00413B94" w:rsidRDefault="00AF645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Julia Casella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Alana Harper</w:t>
            </w:r>
            <w:r w:rsidR="00AD14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Luke Garratt</w:t>
            </w:r>
            <w:r w:rsidR="00AD14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Yuliya Karpievitch</w:t>
            </w:r>
            <w:r w:rsidR="00AD14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Crystal Bourke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Mark Nicol</w:t>
            </w:r>
            <w:r w:rsidR="00AD14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AF6454">
              <w:rPr>
                <w:rFonts w:ascii="Arial" w:hAnsi="Arial" w:cs="Arial"/>
                <w:sz w:val="22"/>
                <w:szCs w:val="22"/>
                <w:lang w:val="en-US" w:eastAsia="en-GB"/>
              </w:rPr>
              <w:t>André Schultz</w:t>
            </w:r>
            <w:r w:rsidR="00AD14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AE7BC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AD14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,5</w:t>
            </w:r>
            <w:r w:rsidR="001B782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,7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Kathryn Ramsey</w:t>
            </w:r>
            <w:r w:rsidR="00AD14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AE7BC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837532">
        <w:trPr>
          <w:trHeight w:val="136"/>
          <w:jc w:val="center"/>
        </w:trPr>
        <w:tc>
          <w:tcPr>
            <w:tcW w:w="8940" w:type="dxa"/>
            <w:shd w:val="clear" w:color="auto" w:fill="auto"/>
          </w:tcPr>
          <w:p w14:paraId="1643A330" w14:textId="405C1BF6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Wal-yan Respiratory Research Centre, Telethon Kids Institute, </w:t>
            </w:r>
            <w:r w:rsidR="00AD143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Perth, 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</w:t>
            </w:r>
            <w:r w:rsidR="001B782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A, Australia</w:t>
            </w:r>
          </w:p>
          <w:p w14:paraId="3BD815D8" w14:textId="2E53F211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Public Health, Curtin University, </w:t>
            </w:r>
            <w:r w:rsidR="00AD143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Perth, </w:t>
            </w:r>
            <w:r w:rsidR="001B782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WA, Australia</w:t>
            </w:r>
          </w:p>
          <w:p w14:paraId="6BCADC27" w14:textId="14420F84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Centre for Child Health Research, University of Western Australia, </w:t>
            </w:r>
            <w:r w:rsidR="00AD143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Perth, 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</w:t>
            </w:r>
            <w:r w:rsidR="001B782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A, Australia</w:t>
            </w:r>
          </w:p>
          <w:p w14:paraId="606CB874" w14:textId="079E376C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Biomedical Sciences, University of Western Australia, </w:t>
            </w:r>
            <w:r w:rsidR="00AD143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Perth, 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</w:t>
            </w:r>
            <w:r w:rsidR="001B782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A, Australia</w:t>
            </w:r>
          </w:p>
          <w:p w14:paraId="17EEEB49" w14:textId="630192FB" w:rsidR="001564A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83753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espiratory and Sleep Medicine, Perth Children’s Hospital, </w:t>
            </w:r>
            <w:r w:rsidR="00AD143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Perth, </w:t>
            </w:r>
            <w:r w:rsidR="00AF64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</w:t>
            </w:r>
            <w:r w:rsidR="001B782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A, Australia</w:t>
            </w:r>
          </w:p>
          <w:p w14:paraId="357E1AC3" w14:textId="0065381C" w:rsidR="00AF6454" w:rsidRDefault="00AF6454" w:rsidP="00AD143E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AF645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 xml:space="preserve">6 </w:t>
            </w:r>
            <w:r w:rsidRPr="00AF6454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The Marshall Centre for Infectious Diseases Research and Training, University of Western Australia</w:t>
            </w:r>
            <w:r w:rsidR="00AD143E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, Perth, W</w:t>
            </w:r>
            <w:r w:rsidR="001B782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A, Australia</w:t>
            </w:r>
          </w:p>
          <w:p w14:paraId="45ED36BF" w14:textId="2289B9D1" w:rsidR="001B7821" w:rsidRPr="001B7821" w:rsidRDefault="001B7821" w:rsidP="00AD143E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7</w:t>
            </w:r>
            <w:r w:rsidRPr="00AF645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Division of Paediatrics, Faculty of Medicine, University of Western Australia, Perth, WA, Australia</w:t>
            </w:r>
          </w:p>
        </w:tc>
      </w:tr>
      <w:tr w:rsidR="001564A4" w:rsidRPr="0050053A" w14:paraId="6DAF615A" w14:textId="77777777" w:rsidTr="001B7821">
        <w:trPr>
          <w:trHeight w:hRule="exact" w:val="8290"/>
          <w:jc w:val="center"/>
        </w:trPr>
        <w:tc>
          <w:tcPr>
            <w:tcW w:w="8940" w:type="dxa"/>
            <w:shd w:val="clear" w:color="auto" w:fill="auto"/>
          </w:tcPr>
          <w:p w14:paraId="2251F6D5" w14:textId="74C1BF05" w:rsidR="001564A4" w:rsidRPr="009C0BB2" w:rsidRDefault="001564A4" w:rsidP="003B4C27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624AC0" w:rsidRPr="00624AC0">
              <w:rPr>
                <w:rStyle w:val="A4"/>
              </w:rPr>
              <w:t xml:space="preserve">The lung clearance index (LCI) is a marker of ventilation </w:t>
            </w:r>
            <w:r w:rsidR="007B47FB">
              <w:rPr>
                <w:rStyle w:val="A4"/>
              </w:rPr>
              <w:t>inhomogeneity</w:t>
            </w:r>
            <w:r w:rsidR="007B47FB" w:rsidRPr="00624AC0">
              <w:rPr>
                <w:rStyle w:val="A4"/>
              </w:rPr>
              <w:t xml:space="preserve"> </w:t>
            </w:r>
            <w:r w:rsidR="00624AC0" w:rsidRPr="00624AC0">
              <w:rPr>
                <w:rStyle w:val="A4"/>
              </w:rPr>
              <w:t xml:space="preserve">from the multiple breath gas washout (MBW) test. LCI </w:t>
            </w:r>
            <w:r w:rsidR="006C13E0">
              <w:rPr>
                <w:rStyle w:val="A4"/>
              </w:rPr>
              <w:t>is a sensitive</w:t>
            </w:r>
            <w:r w:rsidR="00624AC0" w:rsidRPr="00624AC0">
              <w:rPr>
                <w:rStyle w:val="A4"/>
              </w:rPr>
              <w:t xml:space="preserve"> </w:t>
            </w:r>
            <w:r w:rsidR="006C13E0">
              <w:rPr>
                <w:rStyle w:val="A4"/>
              </w:rPr>
              <w:t xml:space="preserve">marker of </w:t>
            </w:r>
            <w:r w:rsidR="00624AC0" w:rsidRPr="00624AC0">
              <w:rPr>
                <w:rStyle w:val="A4"/>
              </w:rPr>
              <w:t xml:space="preserve">lung disease in children </w:t>
            </w:r>
            <w:r w:rsidR="006C13E0">
              <w:rPr>
                <w:rStyle w:val="A4"/>
              </w:rPr>
              <w:t xml:space="preserve">and adolescents </w:t>
            </w:r>
            <w:r w:rsidR="00624AC0" w:rsidRPr="00624AC0">
              <w:rPr>
                <w:rStyle w:val="A4"/>
              </w:rPr>
              <w:t>with cystic fibrosis (CF) but has not been assessed extensively in (non-CF) bronchiectasis. We aimed to</w:t>
            </w:r>
            <w:r w:rsidR="00124056">
              <w:rPr>
                <w:rStyle w:val="A4"/>
              </w:rPr>
              <w:t xml:space="preserve"> determine whether LCI is abnormally elevated in children and adolescents with bronchiectasis. </w:t>
            </w:r>
          </w:p>
          <w:p w14:paraId="3D770CF7" w14:textId="77777777" w:rsidR="001564A4" w:rsidRPr="0050053A" w:rsidRDefault="001564A4" w:rsidP="003B4C27">
            <w:pPr>
              <w:pStyle w:val="Pa12"/>
              <w:jc w:val="both"/>
              <w:rPr>
                <w:rStyle w:val="A4"/>
                <w:bCs/>
              </w:rPr>
            </w:pPr>
          </w:p>
          <w:p w14:paraId="70A39F78" w14:textId="7F4C122B" w:rsidR="001564A4" w:rsidRPr="0050053A" w:rsidRDefault="001564A4" w:rsidP="003B4C27">
            <w:pPr>
              <w:pStyle w:val="Pa12"/>
              <w:jc w:val="both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6C13E0" w:rsidRPr="003B4C27">
              <w:rPr>
                <w:rStyle w:val="A4"/>
              </w:rPr>
              <w:t>We compared</w:t>
            </w:r>
            <w:r w:rsidR="006C13E0">
              <w:rPr>
                <w:rStyle w:val="A4"/>
                <w:b/>
                <w:bCs/>
              </w:rPr>
              <w:t xml:space="preserve"> </w:t>
            </w:r>
            <w:r w:rsidR="009C0BB2" w:rsidRPr="009C0BB2">
              <w:rPr>
                <w:rStyle w:val="A4"/>
              </w:rPr>
              <w:t xml:space="preserve">MBW </w:t>
            </w:r>
            <w:r w:rsidR="006C13E0">
              <w:rPr>
                <w:rStyle w:val="A4"/>
              </w:rPr>
              <w:t>outcomes</w:t>
            </w:r>
            <w:r w:rsidR="004D3D94">
              <w:rPr>
                <w:rStyle w:val="A4"/>
              </w:rPr>
              <w:t xml:space="preserve"> </w:t>
            </w:r>
            <w:r w:rsidR="009C0BB2" w:rsidRPr="009C0BB2">
              <w:rPr>
                <w:rStyle w:val="A4"/>
              </w:rPr>
              <w:t>in children</w:t>
            </w:r>
            <w:r w:rsidR="004D3D94">
              <w:rPr>
                <w:rStyle w:val="A4"/>
              </w:rPr>
              <w:t xml:space="preserve"> and adolescents</w:t>
            </w:r>
            <w:r w:rsidR="009C0BB2" w:rsidRPr="009C0BB2">
              <w:rPr>
                <w:rStyle w:val="A4"/>
              </w:rPr>
              <w:t xml:space="preserve"> with bronchiectasis (n=1</w:t>
            </w:r>
            <w:r w:rsidR="006C13E0">
              <w:rPr>
                <w:rStyle w:val="A4"/>
              </w:rPr>
              <w:t xml:space="preserve">4; </w:t>
            </w:r>
            <w:r w:rsidR="009C0BB2" w:rsidRPr="009C0BB2">
              <w:rPr>
                <w:rStyle w:val="A4"/>
              </w:rPr>
              <w:t>10.9</w:t>
            </w:r>
            <w:r w:rsidR="00CE72FF">
              <w:rPr>
                <w:rStyle w:val="A4"/>
              </w:rPr>
              <w:t>7</w:t>
            </w:r>
            <w:r w:rsidR="00E1611C">
              <w:rPr>
                <w:rStyle w:val="A4"/>
              </w:rPr>
              <w:t xml:space="preserve"> </w:t>
            </w:r>
            <w:r w:rsidR="009C0BB2" w:rsidRPr="009C0BB2">
              <w:rPr>
                <w:rStyle w:val="A4"/>
              </w:rPr>
              <w:t>±</w:t>
            </w:r>
            <w:r w:rsidR="00E1611C">
              <w:rPr>
                <w:rStyle w:val="A4"/>
              </w:rPr>
              <w:t xml:space="preserve"> </w:t>
            </w:r>
            <w:r w:rsidR="00CE72FF">
              <w:rPr>
                <w:rStyle w:val="A4"/>
              </w:rPr>
              <w:t>3</w:t>
            </w:r>
            <w:r w:rsidR="009C0BB2" w:rsidRPr="009C0BB2">
              <w:rPr>
                <w:rStyle w:val="A4"/>
              </w:rPr>
              <w:t>.</w:t>
            </w:r>
            <w:r w:rsidR="00CE72FF">
              <w:rPr>
                <w:rStyle w:val="A4"/>
              </w:rPr>
              <w:t>13</w:t>
            </w:r>
            <w:r w:rsidR="009C0BB2" w:rsidRPr="009C0BB2">
              <w:rPr>
                <w:rStyle w:val="A4"/>
              </w:rPr>
              <w:t xml:space="preserve"> years, 56% male) to age</w:t>
            </w:r>
            <w:r w:rsidR="004D3D94">
              <w:rPr>
                <w:rStyle w:val="A4"/>
              </w:rPr>
              <w:t>-</w:t>
            </w:r>
            <w:r w:rsidR="009C0BB2" w:rsidRPr="009C0BB2">
              <w:rPr>
                <w:rStyle w:val="A4"/>
              </w:rPr>
              <w:t xml:space="preserve"> and sex</w:t>
            </w:r>
            <w:r w:rsidR="004D3D94">
              <w:rPr>
                <w:rStyle w:val="A4"/>
              </w:rPr>
              <w:t>-</w:t>
            </w:r>
            <w:r w:rsidR="009C0BB2" w:rsidRPr="009C0BB2">
              <w:rPr>
                <w:rStyle w:val="A4"/>
              </w:rPr>
              <w:t xml:space="preserve">matched healthy controls (n=16) and children with CF (n=16). Nitrogen MBW data were collected using the Eco Medics </w:t>
            </w:r>
            <w:proofErr w:type="spellStart"/>
            <w:r w:rsidR="009C0BB2" w:rsidRPr="009C0BB2">
              <w:rPr>
                <w:rStyle w:val="A4"/>
              </w:rPr>
              <w:t>Exhalyzer</w:t>
            </w:r>
            <w:proofErr w:type="spellEnd"/>
            <w:r w:rsidR="009C0BB2" w:rsidRPr="009C0BB2">
              <w:rPr>
                <w:rStyle w:val="A4"/>
              </w:rPr>
              <w:t xml:space="preserve">® D device, analysed using </w:t>
            </w:r>
            <w:proofErr w:type="spellStart"/>
            <w:r w:rsidR="009C0BB2" w:rsidRPr="009C0BB2">
              <w:rPr>
                <w:rStyle w:val="A4"/>
              </w:rPr>
              <w:t>Spiroware</w:t>
            </w:r>
            <w:proofErr w:type="spellEnd"/>
            <w:r w:rsidR="009C0BB2" w:rsidRPr="009C0BB2">
              <w:rPr>
                <w:rStyle w:val="A4"/>
              </w:rPr>
              <w:t xml:space="preserve"> 3.3.1</w:t>
            </w:r>
            <w:r w:rsidR="006C13E0">
              <w:rPr>
                <w:rStyle w:val="A4"/>
              </w:rPr>
              <w:t>,</w:t>
            </w:r>
            <w:r w:rsidR="009C0BB2" w:rsidRPr="009C0BB2">
              <w:rPr>
                <w:rStyle w:val="A4"/>
              </w:rPr>
              <w:t xml:space="preserve"> and quality controlled according to international guidelines.</w:t>
            </w:r>
            <w:r w:rsidR="00FC31C9">
              <w:rPr>
                <w:rStyle w:val="A4"/>
              </w:rPr>
              <w:t xml:space="preserve"> Data are presented as mean </w:t>
            </w:r>
            <w:r w:rsidR="00FC31C9" w:rsidRPr="009C0BB2">
              <w:rPr>
                <w:rStyle w:val="A4"/>
              </w:rPr>
              <w:t>±</w:t>
            </w:r>
            <w:r w:rsidR="00FC31C9">
              <w:rPr>
                <w:rStyle w:val="A4"/>
              </w:rPr>
              <w:t xml:space="preserve"> standard deviation. </w:t>
            </w:r>
          </w:p>
          <w:p w14:paraId="5029BAE6" w14:textId="77777777" w:rsidR="001564A4" w:rsidRPr="0050053A" w:rsidRDefault="001564A4" w:rsidP="003B4C27">
            <w:pPr>
              <w:pStyle w:val="Pa12"/>
              <w:jc w:val="both"/>
              <w:rPr>
                <w:rStyle w:val="A4"/>
                <w:bCs/>
              </w:rPr>
            </w:pPr>
          </w:p>
          <w:p w14:paraId="6BF3F094" w14:textId="184E138B" w:rsidR="001564A4" w:rsidRPr="0050053A" w:rsidRDefault="001564A4" w:rsidP="003B4C27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6C13E0">
              <w:rPr>
                <w:rStyle w:val="A4"/>
              </w:rPr>
              <w:t xml:space="preserve">There were no differences in age, height, weight, body mass index, or sex ratio between the groups (p &gt; 0.05). </w:t>
            </w:r>
            <w:r w:rsidR="009C0BB2" w:rsidRPr="009C0BB2">
              <w:rPr>
                <w:rStyle w:val="A4"/>
              </w:rPr>
              <w:t xml:space="preserve">LCI was significantly </w:t>
            </w:r>
            <w:r w:rsidR="006C13E0">
              <w:rPr>
                <w:rStyle w:val="A4"/>
              </w:rPr>
              <w:t>elevated</w:t>
            </w:r>
            <w:r w:rsidR="007B47FB">
              <w:rPr>
                <w:rStyle w:val="A4"/>
              </w:rPr>
              <w:t xml:space="preserve"> (worse)</w:t>
            </w:r>
            <w:r w:rsidR="007B47FB" w:rsidRPr="009C0BB2">
              <w:rPr>
                <w:rStyle w:val="A4"/>
              </w:rPr>
              <w:t xml:space="preserve"> </w:t>
            </w:r>
            <w:r w:rsidR="009C0BB2" w:rsidRPr="009C0BB2">
              <w:rPr>
                <w:rStyle w:val="A4"/>
              </w:rPr>
              <w:t>in children</w:t>
            </w:r>
            <w:r w:rsidR="006C13E0">
              <w:rPr>
                <w:rStyle w:val="A4"/>
              </w:rPr>
              <w:t xml:space="preserve"> and adolescents</w:t>
            </w:r>
            <w:r w:rsidR="009C0BB2" w:rsidRPr="009C0BB2">
              <w:rPr>
                <w:rStyle w:val="A4"/>
              </w:rPr>
              <w:t xml:space="preserve"> with bronchiectasis</w:t>
            </w:r>
            <w:r w:rsidR="007B47FB">
              <w:rPr>
                <w:rStyle w:val="A4"/>
              </w:rPr>
              <w:t xml:space="preserve"> (</w:t>
            </w:r>
            <w:r w:rsidR="007B47FB" w:rsidRPr="009C0BB2">
              <w:rPr>
                <w:rStyle w:val="A4"/>
              </w:rPr>
              <w:t>7.68</w:t>
            </w:r>
            <w:r w:rsidR="007B47FB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>±</w:t>
            </w:r>
            <w:r w:rsidR="00FC31C9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>1.37</w:t>
            </w:r>
            <w:r w:rsidR="007B47FB">
              <w:rPr>
                <w:rStyle w:val="A4"/>
              </w:rPr>
              <w:t>)</w:t>
            </w:r>
            <w:r w:rsidR="009C0BB2" w:rsidRPr="009C0BB2">
              <w:rPr>
                <w:rStyle w:val="A4"/>
              </w:rPr>
              <w:t xml:space="preserve"> compared</w:t>
            </w:r>
            <w:r w:rsidR="007B47FB">
              <w:rPr>
                <w:rStyle w:val="A4"/>
              </w:rPr>
              <w:t xml:space="preserve"> with</w:t>
            </w:r>
            <w:r w:rsidR="009C0BB2" w:rsidRPr="009C0BB2">
              <w:rPr>
                <w:rStyle w:val="A4"/>
              </w:rPr>
              <w:t xml:space="preserve"> healthy controls (6.45</w:t>
            </w:r>
            <w:r w:rsidR="007B47FB">
              <w:rPr>
                <w:rStyle w:val="A4"/>
              </w:rPr>
              <w:t xml:space="preserve"> </w:t>
            </w:r>
            <w:r w:rsidR="009C0BB2" w:rsidRPr="009C0BB2">
              <w:rPr>
                <w:rStyle w:val="A4"/>
              </w:rPr>
              <w:t>±</w:t>
            </w:r>
            <w:r w:rsidR="00FC31C9">
              <w:rPr>
                <w:rStyle w:val="A4"/>
              </w:rPr>
              <w:t xml:space="preserve"> </w:t>
            </w:r>
            <w:r w:rsidR="009C0BB2" w:rsidRPr="009C0BB2">
              <w:rPr>
                <w:rStyle w:val="A4"/>
              </w:rPr>
              <w:t>0.79</w:t>
            </w:r>
            <w:r w:rsidR="007B47FB">
              <w:rPr>
                <w:rStyle w:val="A4"/>
              </w:rPr>
              <w:t xml:space="preserve">; </w:t>
            </w:r>
            <w:r w:rsidR="009C0BB2" w:rsidRPr="009C0BB2">
              <w:rPr>
                <w:rStyle w:val="A4"/>
              </w:rPr>
              <w:t>p</w:t>
            </w:r>
            <w:r w:rsidR="00FC31C9">
              <w:rPr>
                <w:rStyle w:val="A4"/>
              </w:rPr>
              <w:t>=</w:t>
            </w:r>
            <w:r w:rsidR="009C0BB2" w:rsidRPr="009C0BB2">
              <w:rPr>
                <w:rStyle w:val="A4"/>
              </w:rPr>
              <w:t>0.0</w:t>
            </w:r>
            <w:r w:rsidR="007B47FB">
              <w:rPr>
                <w:rStyle w:val="A4"/>
              </w:rPr>
              <w:t>2</w:t>
            </w:r>
            <w:r w:rsidR="009C0BB2" w:rsidRPr="009C0BB2">
              <w:rPr>
                <w:rStyle w:val="A4"/>
              </w:rPr>
              <w:t>).</w:t>
            </w:r>
            <w:r w:rsidR="006C13E0">
              <w:rPr>
                <w:rStyle w:val="A4"/>
              </w:rPr>
              <w:t xml:space="preserve"> The mean LCI values were similar between children and adolescents with bronchiectasis and CF (7.38 </w:t>
            </w:r>
            <w:r w:rsidR="006C13E0" w:rsidRPr="009C0BB2">
              <w:rPr>
                <w:rStyle w:val="A4"/>
              </w:rPr>
              <w:t>±</w:t>
            </w:r>
            <w:r w:rsidR="006C13E0">
              <w:rPr>
                <w:rStyle w:val="A4"/>
              </w:rPr>
              <w:t xml:space="preserve"> 1.44; p = 0.99) and the same</w:t>
            </w:r>
            <w:r w:rsidR="007B47FB">
              <w:rPr>
                <w:rStyle w:val="A4"/>
              </w:rPr>
              <w:t xml:space="preserve"> proportion of </w:t>
            </w:r>
            <w:r w:rsidR="006C13E0">
              <w:rPr>
                <w:rStyle w:val="A4"/>
              </w:rPr>
              <w:t>individuals</w:t>
            </w:r>
            <w:r w:rsidR="007B47FB">
              <w:rPr>
                <w:rStyle w:val="A4"/>
              </w:rPr>
              <w:t xml:space="preserve"> with bronchiectasis (57%) and CF (56%) had </w:t>
            </w:r>
            <w:r w:rsidR="009C0BB2" w:rsidRPr="009C0BB2">
              <w:rPr>
                <w:rStyle w:val="A4"/>
              </w:rPr>
              <w:t xml:space="preserve">LCI </w:t>
            </w:r>
            <w:r w:rsidR="007B47FB">
              <w:rPr>
                <w:rStyle w:val="A4"/>
              </w:rPr>
              <w:t>values</w:t>
            </w:r>
            <w:r w:rsidR="009C0BB2" w:rsidRPr="009C0BB2">
              <w:rPr>
                <w:rStyle w:val="A4"/>
              </w:rPr>
              <w:t xml:space="preserve"> above the upper limit of normal (LCI</w:t>
            </w:r>
            <w:r w:rsidR="007B47FB">
              <w:rPr>
                <w:rStyle w:val="A4"/>
              </w:rPr>
              <w:t xml:space="preserve"> </w:t>
            </w:r>
            <w:r w:rsidR="009C0BB2" w:rsidRPr="009C0BB2">
              <w:rPr>
                <w:rStyle w:val="A4"/>
              </w:rPr>
              <w:t>&gt;</w:t>
            </w:r>
            <w:r w:rsidR="007B47FB">
              <w:rPr>
                <w:rStyle w:val="A4"/>
              </w:rPr>
              <w:t xml:space="preserve"> </w:t>
            </w:r>
            <w:r w:rsidR="009C0BB2" w:rsidRPr="009C0BB2">
              <w:rPr>
                <w:rStyle w:val="A4"/>
              </w:rPr>
              <w:t>7.1).</w:t>
            </w:r>
            <w:r w:rsidR="007B47FB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 xml:space="preserve">FRC </w:t>
            </w:r>
            <w:r w:rsidR="006C13E0">
              <w:rPr>
                <w:rStyle w:val="A4"/>
              </w:rPr>
              <w:t>values were not different between groups (</w:t>
            </w:r>
            <w:r w:rsidR="007B47FB" w:rsidRPr="009C0BB2">
              <w:rPr>
                <w:rStyle w:val="A4"/>
              </w:rPr>
              <w:t xml:space="preserve">bronchiectasis </w:t>
            </w:r>
            <w:r w:rsidR="006C13E0">
              <w:rPr>
                <w:rStyle w:val="A4"/>
              </w:rPr>
              <w:t>:</w:t>
            </w:r>
            <w:r w:rsidR="007B47FB" w:rsidRPr="009C0BB2">
              <w:rPr>
                <w:rStyle w:val="A4"/>
              </w:rPr>
              <w:t>1.35</w:t>
            </w:r>
            <w:r w:rsidR="00FC31C9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>±</w:t>
            </w:r>
            <w:r w:rsidR="00FC31C9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>0.57</w:t>
            </w:r>
            <w:r w:rsidR="006C13E0">
              <w:rPr>
                <w:rStyle w:val="A4"/>
              </w:rPr>
              <w:t>;</w:t>
            </w:r>
            <w:r w:rsidR="007B47FB" w:rsidRPr="009C0BB2">
              <w:rPr>
                <w:rStyle w:val="A4"/>
              </w:rPr>
              <w:t xml:space="preserve"> CF </w:t>
            </w:r>
            <w:r w:rsidR="006C13E0">
              <w:rPr>
                <w:rStyle w:val="A4"/>
              </w:rPr>
              <w:t>:</w:t>
            </w:r>
            <w:r w:rsidR="007B47FB" w:rsidRPr="009C0BB2">
              <w:rPr>
                <w:rStyle w:val="A4"/>
              </w:rPr>
              <w:t>1.26</w:t>
            </w:r>
            <w:r w:rsidR="00FC31C9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>±</w:t>
            </w:r>
            <w:r w:rsidR="00FC31C9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>0.42</w:t>
            </w:r>
            <w:r w:rsidR="006C13E0">
              <w:rPr>
                <w:rStyle w:val="A4"/>
              </w:rPr>
              <w:t xml:space="preserve">; </w:t>
            </w:r>
            <w:r w:rsidR="007B47FB" w:rsidRPr="009C0BB2">
              <w:rPr>
                <w:rStyle w:val="A4"/>
              </w:rPr>
              <w:t>healthy</w:t>
            </w:r>
            <w:r w:rsidR="006C13E0">
              <w:rPr>
                <w:rStyle w:val="A4"/>
              </w:rPr>
              <w:t xml:space="preserve">: </w:t>
            </w:r>
            <w:r w:rsidR="007B47FB" w:rsidRPr="009C0BB2">
              <w:rPr>
                <w:rStyle w:val="A4"/>
              </w:rPr>
              <w:t>1.49</w:t>
            </w:r>
            <w:r w:rsidR="00FC31C9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>±</w:t>
            </w:r>
            <w:r w:rsidR="00FC31C9">
              <w:rPr>
                <w:rStyle w:val="A4"/>
              </w:rPr>
              <w:t xml:space="preserve"> </w:t>
            </w:r>
            <w:r w:rsidR="007B47FB" w:rsidRPr="009C0BB2">
              <w:rPr>
                <w:rStyle w:val="A4"/>
              </w:rPr>
              <w:t>0.69</w:t>
            </w:r>
            <w:r w:rsidR="006C13E0">
              <w:rPr>
                <w:rStyle w:val="A4"/>
              </w:rPr>
              <w:t>;</w:t>
            </w:r>
            <w:r w:rsidR="007B47FB" w:rsidRPr="009C0BB2">
              <w:rPr>
                <w:rStyle w:val="A4"/>
              </w:rPr>
              <w:t xml:space="preserve"> p=0.4</w:t>
            </w:r>
            <w:r w:rsidR="006C13E0">
              <w:rPr>
                <w:rStyle w:val="A4"/>
              </w:rPr>
              <w:t>8</w:t>
            </w:r>
            <w:r w:rsidR="007B47FB" w:rsidRPr="009C0BB2">
              <w:rPr>
                <w:rStyle w:val="A4"/>
              </w:rPr>
              <w:t>).</w:t>
            </w:r>
          </w:p>
          <w:p w14:paraId="68537800" w14:textId="0219718E" w:rsidR="001564A4" w:rsidRPr="009C0BB2" w:rsidRDefault="001564A4" w:rsidP="003B4C27">
            <w:pPr>
              <w:pStyle w:val="Pa12"/>
              <w:jc w:val="both"/>
              <w:rPr>
                <w:rStyle w:val="A4"/>
                <w:color w:val="auto"/>
              </w:rPr>
            </w:pPr>
          </w:p>
          <w:p w14:paraId="48DE0F95" w14:textId="55CA495B" w:rsidR="00FC31C9" w:rsidRDefault="001564A4" w:rsidP="006C13E0">
            <w:pPr>
              <w:pStyle w:val="Pa12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E1611C">
              <w:rPr>
                <w:rStyle w:val="A4"/>
              </w:rPr>
              <w:t xml:space="preserve">These preliminary data indicate that </w:t>
            </w:r>
            <w:r w:rsidR="001555D4">
              <w:rPr>
                <w:rStyle w:val="A4"/>
              </w:rPr>
              <w:t xml:space="preserve">LCI </w:t>
            </w:r>
            <w:proofErr w:type="gramStart"/>
            <w:r w:rsidR="00AC49E0">
              <w:rPr>
                <w:rStyle w:val="A4"/>
              </w:rPr>
              <w:t>is able to</w:t>
            </w:r>
            <w:proofErr w:type="gramEnd"/>
            <w:r w:rsidR="00E91A0E">
              <w:rPr>
                <w:rStyle w:val="A4"/>
              </w:rPr>
              <w:t xml:space="preserve"> </w:t>
            </w:r>
            <w:r w:rsidR="00E1611C">
              <w:rPr>
                <w:rStyle w:val="A4"/>
              </w:rPr>
              <w:t>differentiate between children</w:t>
            </w:r>
            <w:r w:rsidR="00AE7BC9">
              <w:rPr>
                <w:rStyle w:val="A4"/>
              </w:rPr>
              <w:t xml:space="preserve"> and adolescents</w:t>
            </w:r>
            <w:r w:rsidR="00E1611C">
              <w:rPr>
                <w:rStyle w:val="A4"/>
              </w:rPr>
              <w:t xml:space="preserve"> with bronchiectasis and healthy controls, and is elevated to the same degree as in </w:t>
            </w:r>
            <w:r w:rsidR="00AE7BC9">
              <w:rPr>
                <w:rStyle w:val="A4"/>
              </w:rPr>
              <w:t>individuals</w:t>
            </w:r>
            <w:r w:rsidR="00E1611C">
              <w:rPr>
                <w:rStyle w:val="A4"/>
              </w:rPr>
              <w:t xml:space="preserve"> with CF. </w:t>
            </w:r>
            <w:r w:rsidR="00FC31C9">
              <w:rPr>
                <w:rStyle w:val="A4"/>
              </w:rPr>
              <w:t>Next steps</w:t>
            </w:r>
            <w:r w:rsidR="00E1611C">
              <w:rPr>
                <w:rStyle w:val="A4"/>
              </w:rPr>
              <w:t xml:space="preserve"> will </w:t>
            </w:r>
            <w:r w:rsidR="00FC31C9">
              <w:rPr>
                <w:rStyle w:val="A4"/>
              </w:rPr>
              <w:t xml:space="preserve">be </w:t>
            </w:r>
            <w:r w:rsidR="00AE7BC9">
              <w:rPr>
                <w:rStyle w:val="A4"/>
              </w:rPr>
              <w:t xml:space="preserve">to </w:t>
            </w:r>
            <w:r w:rsidR="00E1611C">
              <w:rPr>
                <w:rStyle w:val="A4"/>
              </w:rPr>
              <w:t>examine relationships between</w:t>
            </w:r>
            <w:r w:rsidR="00CC0867">
              <w:rPr>
                <w:rStyle w:val="A4"/>
              </w:rPr>
              <w:t xml:space="preserve"> LCI </w:t>
            </w:r>
            <w:r w:rsidR="00E1611C">
              <w:rPr>
                <w:rStyle w:val="A4"/>
              </w:rPr>
              <w:t>and</w:t>
            </w:r>
            <w:r w:rsidR="00FC31C9">
              <w:rPr>
                <w:rStyle w:val="A4"/>
              </w:rPr>
              <w:t xml:space="preserve"> </w:t>
            </w:r>
            <w:r w:rsidR="00CC0867">
              <w:rPr>
                <w:rStyle w:val="A4"/>
              </w:rPr>
              <w:t>markers of disease severity (</w:t>
            </w:r>
            <w:r w:rsidR="00FC31C9">
              <w:rPr>
                <w:rStyle w:val="A4"/>
              </w:rPr>
              <w:t xml:space="preserve">spirometry, </w:t>
            </w:r>
            <w:r w:rsidR="00CC0867">
              <w:rPr>
                <w:rStyle w:val="A4"/>
              </w:rPr>
              <w:t xml:space="preserve">exacerbations, extent of </w:t>
            </w:r>
            <w:r w:rsidR="00FC31C9">
              <w:rPr>
                <w:rStyle w:val="A4"/>
              </w:rPr>
              <w:t xml:space="preserve">lung disease on CT) and assess how LCI changes over time in children and adolescents with bronchiectasis. </w:t>
            </w:r>
          </w:p>
          <w:p w14:paraId="196E7BAC" w14:textId="5B58CD90" w:rsidR="001564A4" w:rsidRPr="00CC0867" w:rsidRDefault="001564A4" w:rsidP="003B4C27">
            <w:pPr>
              <w:pStyle w:val="Pa12"/>
              <w:jc w:val="both"/>
              <w:rPr>
                <w:rStyle w:val="A4"/>
              </w:rPr>
            </w:pPr>
          </w:p>
          <w:p w14:paraId="69D9C112" w14:textId="54E22DBD" w:rsidR="00FC31C9" w:rsidRPr="00FC31C9" w:rsidRDefault="001564A4" w:rsidP="003B4C27">
            <w:pPr>
              <w:pStyle w:val="Pa12"/>
              <w:jc w:val="both"/>
              <w:rPr>
                <w:b/>
                <w:bCs/>
                <w:i/>
                <w:color w:val="000000"/>
                <w:sz w:val="22"/>
                <w:szCs w:val="22"/>
                <w:lang w:val="en-AU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D23384" w:rsidRPr="00D23384">
              <w:rPr>
                <w:rStyle w:val="A4"/>
              </w:rPr>
              <w:t>Future Health Research and Innovation Fund (WANMA2021/1 Ramsey)</w:t>
            </w:r>
            <w:r w:rsidR="00FC31C9">
              <w:rPr>
                <w:rStyle w:val="A4"/>
              </w:rPr>
              <w:t xml:space="preserve">. NHMRC </w:t>
            </w:r>
            <w:proofErr w:type="spellStart"/>
            <w:r w:rsidR="00FC31C9">
              <w:rPr>
                <w:iCs/>
                <w:color w:val="000000"/>
                <w:sz w:val="22"/>
                <w:szCs w:val="22"/>
                <w:lang w:val="en-AU"/>
              </w:rPr>
              <w:t>AusBREATHE</w:t>
            </w:r>
            <w:proofErr w:type="spellEnd"/>
            <w:r w:rsidR="00FC31C9">
              <w:rPr>
                <w:iCs/>
                <w:color w:val="000000"/>
                <w:sz w:val="22"/>
                <w:szCs w:val="22"/>
                <w:lang w:val="en-AU"/>
              </w:rPr>
              <w:t xml:space="preserve"> project grant. </w:t>
            </w:r>
          </w:p>
          <w:p w14:paraId="1AA59FD5" w14:textId="2CF38546" w:rsidR="00D23384" w:rsidRPr="00CC0867" w:rsidRDefault="00D23384" w:rsidP="00CC0867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</w:p>
          <w:p w14:paraId="7F8381F0" w14:textId="77053A5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32D6519" w14:textId="71F0D6D5" w:rsidR="009C0BB2" w:rsidRDefault="009C0BB2" w:rsidP="001564A4"/>
    <w:sectPr w:rsidR="009C0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B0811"/>
    <w:multiLevelType w:val="hybridMultilevel"/>
    <w:tmpl w:val="C2468A1E"/>
    <w:lvl w:ilvl="0" w:tplc="B33A63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F6760"/>
    <w:rsid w:val="00106773"/>
    <w:rsid w:val="00124056"/>
    <w:rsid w:val="001555D4"/>
    <w:rsid w:val="001564A4"/>
    <w:rsid w:val="00177829"/>
    <w:rsid w:val="001B756A"/>
    <w:rsid w:val="001B7821"/>
    <w:rsid w:val="002277F0"/>
    <w:rsid w:val="00232F90"/>
    <w:rsid w:val="00292C1F"/>
    <w:rsid w:val="002C130C"/>
    <w:rsid w:val="002E5A22"/>
    <w:rsid w:val="00315AF9"/>
    <w:rsid w:val="003B4C27"/>
    <w:rsid w:val="00416BDF"/>
    <w:rsid w:val="00450049"/>
    <w:rsid w:val="0047112A"/>
    <w:rsid w:val="00472319"/>
    <w:rsid w:val="00485605"/>
    <w:rsid w:val="004D3D94"/>
    <w:rsid w:val="0051574E"/>
    <w:rsid w:val="00546678"/>
    <w:rsid w:val="00611861"/>
    <w:rsid w:val="0062287F"/>
    <w:rsid w:val="00624AC0"/>
    <w:rsid w:val="006C13E0"/>
    <w:rsid w:val="006E3F3A"/>
    <w:rsid w:val="007020E6"/>
    <w:rsid w:val="007B47FB"/>
    <w:rsid w:val="007F34B9"/>
    <w:rsid w:val="00806517"/>
    <w:rsid w:val="00837532"/>
    <w:rsid w:val="0085342D"/>
    <w:rsid w:val="008803FA"/>
    <w:rsid w:val="00942F9A"/>
    <w:rsid w:val="00953910"/>
    <w:rsid w:val="009C0BB2"/>
    <w:rsid w:val="009C680E"/>
    <w:rsid w:val="009D7918"/>
    <w:rsid w:val="00A06940"/>
    <w:rsid w:val="00A33AE8"/>
    <w:rsid w:val="00A55DA6"/>
    <w:rsid w:val="00AB2DFA"/>
    <w:rsid w:val="00AB7FFA"/>
    <w:rsid w:val="00AC49E0"/>
    <w:rsid w:val="00AD143E"/>
    <w:rsid w:val="00AE7BC9"/>
    <w:rsid w:val="00AF6454"/>
    <w:rsid w:val="00B12E32"/>
    <w:rsid w:val="00B80534"/>
    <w:rsid w:val="00B9621F"/>
    <w:rsid w:val="00BA0D84"/>
    <w:rsid w:val="00BB5D33"/>
    <w:rsid w:val="00BE4E1C"/>
    <w:rsid w:val="00C504BB"/>
    <w:rsid w:val="00C857AC"/>
    <w:rsid w:val="00CC0867"/>
    <w:rsid w:val="00CE72FF"/>
    <w:rsid w:val="00D23384"/>
    <w:rsid w:val="00DF4987"/>
    <w:rsid w:val="00E0700F"/>
    <w:rsid w:val="00E1611C"/>
    <w:rsid w:val="00E91A0E"/>
    <w:rsid w:val="00EF0B2D"/>
    <w:rsid w:val="00EF7F2C"/>
    <w:rsid w:val="00FC31C9"/>
    <w:rsid w:val="00FE5A1B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155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8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7A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7AC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7B47F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Julia Casella</cp:lastModifiedBy>
  <cp:revision>15</cp:revision>
  <dcterms:created xsi:type="dcterms:W3CDTF">2023-10-19T02:27:00Z</dcterms:created>
  <dcterms:modified xsi:type="dcterms:W3CDTF">2023-10-19T09:23:00Z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