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7FA0" w14:textId="470F0F1A" w:rsidR="008427FA" w:rsidRPr="001F59F4" w:rsidRDefault="001F59F4" w:rsidP="004038D6">
      <w:pPr>
        <w:spacing w:line="360" w:lineRule="auto"/>
        <w:rPr>
          <w:rFonts w:ascii="Arial" w:hAnsi="Arial" w:cs="Arial"/>
          <w:b/>
          <w:caps/>
        </w:rPr>
      </w:pPr>
      <w:r w:rsidRPr="001F59F4">
        <w:rPr>
          <w:rFonts w:ascii="Arial" w:hAnsi="Arial" w:cs="Arial"/>
          <w:b/>
          <w:caps/>
        </w:rPr>
        <w:t>Cardiometabolic biomarkers and prediction of kidney disease progression: the eGFR cohort study</w:t>
      </w:r>
    </w:p>
    <w:p w14:paraId="45D1E99E" w14:textId="2698BB2C" w:rsidR="001F59F4" w:rsidRPr="001F59F4" w:rsidRDefault="001F59F4" w:rsidP="004038D6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3B19A35E" w14:textId="5E38E9FE" w:rsidR="001F59F4" w:rsidRPr="001F59F4" w:rsidRDefault="009D79DB" w:rsidP="004038D6">
      <w:pPr>
        <w:spacing w:line="360" w:lineRule="auto"/>
        <w:rPr>
          <w:rFonts w:ascii="Arial" w:hAnsi="Arial" w:cs="Arial"/>
          <w:iCs/>
        </w:rPr>
      </w:pPr>
      <w:r w:rsidRPr="001F59F4">
        <w:rPr>
          <w:rFonts w:ascii="Arial" w:hAnsi="Arial" w:cs="Arial"/>
          <w:b/>
          <w:iCs/>
        </w:rPr>
        <w:t>A</w:t>
      </w:r>
      <w:r w:rsidR="008427FA" w:rsidRPr="001F59F4">
        <w:rPr>
          <w:rFonts w:ascii="Arial" w:hAnsi="Arial" w:cs="Arial"/>
          <w:b/>
          <w:iCs/>
        </w:rPr>
        <w:t>im</w:t>
      </w:r>
      <w:r w:rsidR="001F59F4" w:rsidRPr="001F59F4">
        <w:rPr>
          <w:rFonts w:ascii="Arial" w:hAnsi="Arial" w:cs="Arial"/>
          <w:b/>
          <w:iCs/>
        </w:rPr>
        <w:t>:</w:t>
      </w:r>
      <w:r w:rsidR="001F59F4" w:rsidRPr="001F59F4">
        <w:rPr>
          <w:rFonts w:ascii="Arial" w:hAnsi="Arial" w:cs="Arial"/>
          <w:iCs/>
        </w:rPr>
        <w:t xml:space="preserve"> </w:t>
      </w:r>
      <w:r w:rsidR="004038D6" w:rsidRPr="004038D6">
        <w:rPr>
          <w:rFonts w:ascii="Arial" w:hAnsi="Arial" w:cs="Arial"/>
          <w:iCs/>
        </w:rPr>
        <w:t>Tradit</w:t>
      </w:r>
      <w:r w:rsidR="009E6459">
        <w:rPr>
          <w:rFonts w:ascii="Arial" w:hAnsi="Arial" w:cs="Arial"/>
          <w:iCs/>
        </w:rPr>
        <w:t>ional markers modestly predict chronic kidney disease</w:t>
      </w:r>
      <w:r w:rsidR="004038D6" w:rsidRPr="004038D6">
        <w:rPr>
          <w:rFonts w:ascii="Arial" w:hAnsi="Arial" w:cs="Arial"/>
          <w:iCs/>
        </w:rPr>
        <w:t xml:space="preserve"> progression</w:t>
      </w:r>
      <w:r w:rsidR="00812FCF">
        <w:rPr>
          <w:rFonts w:ascii="Arial" w:hAnsi="Arial" w:cs="Arial"/>
          <w:iCs/>
        </w:rPr>
        <w:t xml:space="preserve"> in </w:t>
      </w:r>
      <w:r w:rsidR="00812FCF" w:rsidRPr="004038D6">
        <w:rPr>
          <w:rFonts w:ascii="Arial" w:hAnsi="Arial" w:cs="Arial"/>
          <w:iCs/>
        </w:rPr>
        <w:t>Aboriginal an</w:t>
      </w:r>
      <w:r w:rsidR="00812FCF">
        <w:rPr>
          <w:rFonts w:ascii="Arial" w:hAnsi="Arial" w:cs="Arial"/>
          <w:iCs/>
        </w:rPr>
        <w:t>d Torres Strait Islander people</w:t>
      </w:r>
      <w:r w:rsidR="00AF5F44">
        <w:rPr>
          <w:rFonts w:ascii="Arial" w:hAnsi="Arial" w:cs="Arial"/>
          <w:iCs/>
        </w:rPr>
        <w:t>. T</w:t>
      </w:r>
      <w:r w:rsidR="004038D6" w:rsidRPr="004038D6">
        <w:rPr>
          <w:rFonts w:ascii="Arial" w:hAnsi="Arial" w:cs="Arial"/>
          <w:iCs/>
        </w:rPr>
        <w:t>herefore</w:t>
      </w:r>
      <w:r w:rsidR="00AF5F44">
        <w:rPr>
          <w:rFonts w:ascii="Arial" w:hAnsi="Arial" w:cs="Arial"/>
          <w:iCs/>
        </w:rPr>
        <w:t>,</w:t>
      </w:r>
      <w:r w:rsidR="004038D6" w:rsidRPr="004038D6">
        <w:rPr>
          <w:rFonts w:ascii="Arial" w:hAnsi="Arial" w:cs="Arial"/>
          <w:iCs/>
        </w:rPr>
        <w:t xml:space="preserve"> </w:t>
      </w:r>
      <w:r w:rsidR="00D626E0">
        <w:rPr>
          <w:rFonts w:ascii="Arial" w:hAnsi="Arial" w:cs="Arial"/>
          <w:iCs/>
        </w:rPr>
        <w:t>we</w:t>
      </w:r>
      <w:r w:rsidR="001F59F4" w:rsidRPr="001F59F4">
        <w:rPr>
          <w:rFonts w:ascii="Arial" w:hAnsi="Arial" w:cs="Arial"/>
          <w:iCs/>
        </w:rPr>
        <w:t xml:space="preserve"> </w:t>
      </w:r>
      <w:r w:rsidR="001F59F4">
        <w:rPr>
          <w:rFonts w:ascii="Arial" w:hAnsi="Arial" w:cs="Arial"/>
          <w:iCs/>
        </w:rPr>
        <w:t>assess</w:t>
      </w:r>
      <w:r w:rsidR="004038D6">
        <w:rPr>
          <w:rFonts w:ascii="Arial" w:hAnsi="Arial" w:cs="Arial"/>
          <w:iCs/>
        </w:rPr>
        <w:t>ed</w:t>
      </w:r>
      <w:r w:rsidR="001F59F4" w:rsidRPr="001F59F4">
        <w:rPr>
          <w:rFonts w:ascii="Arial" w:hAnsi="Arial" w:cs="Arial"/>
          <w:iCs/>
        </w:rPr>
        <w:t xml:space="preserve"> </w:t>
      </w:r>
      <w:r w:rsidR="001F59F4">
        <w:rPr>
          <w:rFonts w:ascii="Arial" w:hAnsi="Arial" w:cs="Arial"/>
          <w:iCs/>
        </w:rPr>
        <w:t xml:space="preserve">among </w:t>
      </w:r>
      <w:r w:rsidR="001F59F4" w:rsidRPr="001F59F4">
        <w:rPr>
          <w:rFonts w:ascii="Arial" w:hAnsi="Arial" w:cs="Arial"/>
          <w:iCs/>
        </w:rPr>
        <w:t xml:space="preserve">Aboriginal and Torres Strait Islander people </w:t>
      </w:r>
      <w:r w:rsidR="001F59F4">
        <w:rPr>
          <w:rFonts w:ascii="Arial" w:hAnsi="Arial" w:cs="Arial"/>
          <w:iCs/>
        </w:rPr>
        <w:t>with and without diabetes</w:t>
      </w:r>
      <w:r w:rsidR="00D626E0">
        <w:rPr>
          <w:rFonts w:ascii="Arial" w:hAnsi="Arial" w:cs="Arial"/>
          <w:iCs/>
        </w:rPr>
        <w:t>,</w:t>
      </w:r>
      <w:r w:rsidR="001F59F4">
        <w:rPr>
          <w:rFonts w:ascii="Arial" w:hAnsi="Arial" w:cs="Arial"/>
          <w:iCs/>
        </w:rPr>
        <w:t xml:space="preserve"> associations of </w:t>
      </w:r>
      <w:proofErr w:type="spellStart"/>
      <w:r w:rsidR="001F59F4" w:rsidRPr="001F59F4">
        <w:rPr>
          <w:rFonts w:ascii="Arial" w:hAnsi="Arial" w:cs="Arial"/>
          <w:iCs/>
        </w:rPr>
        <w:t>cardiometabolic</w:t>
      </w:r>
      <w:proofErr w:type="spellEnd"/>
      <w:r w:rsidR="001F59F4" w:rsidRPr="001F59F4">
        <w:rPr>
          <w:rFonts w:ascii="Arial" w:hAnsi="Arial" w:cs="Arial"/>
          <w:iCs/>
        </w:rPr>
        <w:t xml:space="preserve"> and inflammatory clinical biomarkers </w:t>
      </w:r>
      <w:r w:rsidR="001F59F4">
        <w:rPr>
          <w:rFonts w:ascii="Arial" w:hAnsi="Arial" w:cs="Arial"/>
          <w:iCs/>
        </w:rPr>
        <w:t>with</w:t>
      </w:r>
      <w:r w:rsidR="001F59F4" w:rsidRPr="001F59F4">
        <w:rPr>
          <w:rFonts w:ascii="Arial" w:hAnsi="Arial" w:cs="Arial"/>
          <w:iCs/>
        </w:rPr>
        <w:t xml:space="preserve"> </w:t>
      </w:r>
      <w:r w:rsidR="001F59F4">
        <w:rPr>
          <w:rFonts w:ascii="Arial" w:hAnsi="Arial" w:cs="Arial"/>
          <w:iCs/>
        </w:rPr>
        <w:t>kidney disease progression</w:t>
      </w:r>
      <w:r w:rsidR="007057FC">
        <w:rPr>
          <w:rFonts w:ascii="Arial" w:hAnsi="Arial" w:cs="Arial"/>
          <w:iCs/>
        </w:rPr>
        <w:t>.</w:t>
      </w:r>
    </w:p>
    <w:p w14:paraId="6FC8F2FA" w14:textId="77777777" w:rsidR="001F59F4" w:rsidRPr="001F59F4" w:rsidRDefault="001F59F4" w:rsidP="004038D6">
      <w:pPr>
        <w:spacing w:line="360" w:lineRule="auto"/>
        <w:rPr>
          <w:rFonts w:ascii="Arial" w:hAnsi="Arial" w:cs="Arial"/>
          <w:iCs/>
        </w:rPr>
      </w:pPr>
    </w:p>
    <w:p w14:paraId="7BDA4F38" w14:textId="63D22B10" w:rsidR="001F59F4" w:rsidRDefault="009D79DB" w:rsidP="004038D6">
      <w:pPr>
        <w:spacing w:line="360" w:lineRule="auto"/>
        <w:rPr>
          <w:rFonts w:ascii="Arial" w:hAnsi="Arial" w:cs="Arial"/>
          <w:iCs/>
        </w:rPr>
      </w:pPr>
      <w:r w:rsidRPr="001F59F4">
        <w:rPr>
          <w:rFonts w:ascii="Arial" w:hAnsi="Arial" w:cs="Arial"/>
          <w:b/>
          <w:iCs/>
        </w:rPr>
        <w:t>M</w:t>
      </w:r>
      <w:r w:rsidR="008427FA" w:rsidRPr="001F59F4">
        <w:rPr>
          <w:rFonts w:ascii="Arial" w:hAnsi="Arial" w:cs="Arial"/>
          <w:b/>
          <w:iCs/>
        </w:rPr>
        <w:t>ethod</w:t>
      </w:r>
      <w:r w:rsidRPr="001F59F4">
        <w:rPr>
          <w:rFonts w:ascii="Arial" w:hAnsi="Arial" w:cs="Arial"/>
          <w:b/>
          <w:iCs/>
        </w:rPr>
        <w:t>s</w:t>
      </w:r>
      <w:r w:rsidR="001F59F4" w:rsidRPr="001F59F4">
        <w:rPr>
          <w:rFonts w:ascii="Arial" w:hAnsi="Arial" w:cs="Arial"/>
          <w:b/>
          <w:iCs/>
        </w:rPr>
        <w:t>:</w:t>
      </w:r>
      <w:r w:rsidR="001F59F4" w:rsidRPr="001F59F4">
        <w:rPr>
          <w:rFonts w:ascii="Arial" w:hAnsi="Arial" w:cs="Arial"/>
          <w:iCs/>
        </w:rPr>
        <w:t xml:space="preserve"> The eGFR study is a prospective cohort </w:t>
      </w:r>
      <w:r w:rsidR="00812FCF">
        <w:rPr>
          <w:rFonts w:ascii="Arial" w:hAnsi="Arial" w:cs="Arial"/>
          <w:iCs/>
        </w:rPr>
        <w:t xml:space="preserve">with members recruited </w:t>
      </w:r>
      <w:r w:rsidR="001F59F4" w:rsidRPr="001F59F4">
        <w:rPr>
          <w:rFonts w:ascii="Arial" w:hAnsi="Arial" w:cs="Arial"/>
          <w:iCs/>
        </w:rPr>
        <w:t xml:space="preserve">across diabetes and/or kidney function strata. </w:t>
      </w:r>
      <w:r w:rsidR="00D626E0">
        <w:rPr>
          <w:rFonts w:ascii="Arial" w:hAnsi="Arial" w:cs="Arial"/>
          <w:iCs/>
        </w:rPr>
        <w:t>The b</w:t>
      </w:r>
      <w:r w:rsidR="001F59F4" w:rsidRPr="001F59F4">
        <w:rPr>
          <w:rFonts w:ascii="Arial" w:hAnsi="Arial" w:cs="Arial"/>
          <w:iCs/>
        </w:rPr>
        <w:t>aseline biomarkers (expressed as 1 standard deviation</w:t>
      </w:r>
      <w:r w:rsidR="00D626E0">
        <w:rPr>
          <w:rFonts w:ascii="Arial" w:hAnsi="Arial" w:cs="Arial"/>
          <w:iCs/>
        </w:rPr>
        <w:t xml:space="preserve"> increase in logarithmic scale)</w:t>
      </w:r>
      <w:r w:rsidR="001F59F4" w:rsidRPr="001F59F4">
        <w:rPr>
          <w:rFonts w:ascii="Arial" w:hAnsi="Arial" w:cs="Arial"/>
          <w:iCs/>
        </w:rPr>
        <w:t xml:space="preserve"> </w:t>
      </w:r>
      <w:r w:rsidR="00D626E0">
        <w:rPr>
          <w:rFonts w:ascii="Arial" w:hAnsi="Arial" w:cs="Arial"/>
          <w:iCs/>
        </w:rPr>
        <w:t xml:space="preserve">of </w:t>
      </w:r>
      <w:r w:rsidR="001F59F4" w:rsidRPr="001F59F4">
        <w:rPr>
          <w:rFonts w:ascii="Arial" w:hAnsi="Arial" w:cs="Arial"/>
          <w:iCs/>
        </w:rPr>
        <w:t>plasma kidney injury molecule-1 (pKIM-1) (</w:t>
      </w:r>
      <w:proofErr w:type="spellStart"/>
      <w:r w:rsidR="001F59F4" w:rsidRPr="001F59F4">
        <w:rPr>
          <w:rFonts w:ascii="Arial" w:hAnsi="Arial" w:cs="Arial"/>
          <w:iCs/>
        </w:rPr>
        <w:t>pg</w:t>
      </w:r>
      <w:proofErr w:type="spellEnd"/>
      <w:r w:rsidR="001F59F4" w:rsidRPr="001F59F4">
        <w:rPr>
          <w:rFonts w:ascii="Arial" w:hAnsi="Arial" w:cs="Arial"/>
          <w:iCs/>
        </w:rPr>
        <w:t>/ml), high-sensitivity troponin-T (</w:t>
      </w:r>
      <w:proofErr w:type="spellStart"/>
      <w:r w:rsidR="001F59F4" w:rsidRPr="001F59F4">
        <w:rPr>
          <w:rFonts w:ascii="Arial" w:hAnsi="Arial" w:cs="Arial"/>
          <w:iCs/>
        </w:rPr>
        <w:t>hs-TnT</w:t>
      </w:r>
      <w:proofErr w:type="spellEnd"/>
      <w:r w:rsidR="001F59F4" w:rsidRPr="001F59F4">
        <w:rPr>
          <w:rFonts w:ascii="Arial" w:hAnsi="Arial" w:cs="Arial"/>
          <w:iCs/>
        </w:rPr>
        <w:t>) (ng/L), troponin-I (</w:t>
      </w:r>
      <w:proofErr w:type="spellStart"/>
      <w:r w:rsidR="001F59F4" w:rsidRPr="001F59F4">
        <w:rPr>
          <w:rFonts w:ascii="Arial" w:hAnsi="Arial" w:cs="Arial"/>
          <w:iCs/>
        </w:rPr>
        <w:t>hs-TnI</w:t>
      </w:r>
      <w:proofErr w:type="spellEnd"/>
      <w:r w:rsidR="001F59F4" w:rsidRPr="001F59F4">
        <w:rPr>
          <w:rFonts w:ascii="Arial" w:hAnsi="Arial" w:cs="Arial"/>
          <w:iCs/>
        </w:rPr>
        <w:t>) (ng/L) and soluble tumour necrosis factor receptor-1 (sTNFR-1) (</w:t>
      </w:r>
      <w:proofErr w:type="spellStart"/>
      <w:r w:rsidR="001F59F4" w:rsidRPr="001F59F4">
        <w:rPr>
          <w:rFonts w:ascii="Arial" w:hAnsi="Arial" w:cs="Arial"/>
          <w:iCs/>
        </w:rPr>
        <w:t>pg</w:t>
      </w:r>
      <w:proofErr w:type="spellEnd"/>
      <w:r w:rsidR="001F59F4" w:rsidRPr="001F59F4">
        <w:rPr>
          <w:rFonts w:ascii="Arial" w:hAnsi="Arial" w:cs="Arial"/>
          <w:iCs/>
        </w:rPr>
        <w:t>/ml) were assessed in 496 adults. Linear regression estimated annual change in estimated glomerular filtration rate (eGFR) (ml/min/1.73m</w:t>
      </w:r>
      <w:r w:rsidR="001F59F4" w:rsidRPr="004038D6">
        <w:rPr>
          <w:rFonts w:ascii="Arial" w:hAnsi="Arial" w:cs="Arial"/>
          <w:iCs/>
          <w:vertAlign w:val="superscript"/>
        </w:rPr>
        <w:t>2</w:t>
      </w:r>
      <w:r w:rsidR="001F59F4" w:rsidRPr="001F59F4">
        <w:rPr>
          <w:rFonts w:ascii="Arial" w:hAnsi="Arial" w:cs="Arial"/>
          <w:iCs/>
        </w:rPr>
        <w:t xml:space="preserve">). Cox proportional hazards regression estimated </w:t>
      </w:r>
      <w:r w:rsidR="00BC284D">
        <w:rPr>
          <w:rFonts w:ascii="Arial" w:hAnsi="Arial" w:cs="Arial"/>
          <w:iCs/>
        </w:rPr>
        <w:t>risk</w:t>
      </w:r>
      <w:r w:rsidR="001F59F4" w:rsidRPr="001F59F4">
        <w:rPr>
          <w:rFonts w:ascii="Arial" w:hAnsi="Arial" w:cs="Arial"/>
          <w:iCs/>
        </w:rPr>
        <w:t xml:space="preserve"> for developing a combined kidney health outcome</w:t>
      </w:r>
      <w:r w:rsidR="00812FCF">
        <w:rPr>
          <w:rFonts w:ascii="Arial" w:hAnsi="Arial" w:cs="Arial"/>
          <w:iCs/>
        </w:rPr>
        <w:t xml:space="preserve"> (</w:t>
      </w:r>
      <w:r w:rsidR="00812FCF" w:rsidRPr="00812FCF">
        <w:rPr>
          <w:rFonts w:ascii="Arial" w:hAnsi="Arial" w:cs="Arial"/>
          <w:iCs/>
        </w:rPr>
        <w:t>an absolute 30% decline in eGFR with a follow-up eGFR &lt;60 ml/min per 1.73m</w:t>
      </w:r>
      <w:r w:rsidR="00812FCF" w:rsidRPr="00812FCF">
        <w:rPr>
          <w:rFonts w:ascii="Arial" w:hAnsi="Arial" w:cs="Arial"/>
          <w:iCs/>
          <w:vertAlign w:val="superscript"/>
        </w:rPr>
        <w:t>2</w:t>
      </w:r>
      <w:r w:rsidR="00812FCF" w:rsidRPr="00812FCF">
        <w:rPr>
          <w:rFonts w:ascii="Arial" w:hAnsi="Arial" w:cs="Arial"/>
          <w:iCs/>
        </w:rPr>
        <w:t xml:space="preserve">, kidney replacement therapy initiation </w:t>
      </w:r>
      <w:r w:rsidR="00812FCF">
        <w:rPr>
          <w:rFonts w:ascii="Arial" w:hAnsi="Arial" w:cs="Arial"/>
          <w:iCs/>
        </w:rPr>
        <w:t>or kidney d</w:t>
      </w:r>
      <w:r w:rsidR="00D626E0">
        <w:rPr>
          <w:rFonts w:ascii="Arial" w:hAnsi="Arial" w:cs="Arial"/>
          <w:iCs/>
        </w:rPr>
        <w:t>isease related death) over the follow-up.</w:t>
      </w:r>
    </w:p>
    <w:p w14:paraId="3D4ADA85" w14:textId="77777777" w:rsidR="001F59F4" w:rsidRPr="001F59F4" w:rsidRDefault="001F59F4" w:rsidP="004038D6">
      <w:pPr>
        <w:spacing w:line="360" w:lineRule="auto"/>
        <w:rPr>
          <w:rFonts w:ascii="Arial" w:hAnsi="Arial" w:cs="Arial"/>
          <w:iCs/>
        </w:rPr>
      </w:pPr>
    </w:p>
    <w:p w14:paraId="2B96F377" w14:textId="46D0DD31" w:rsidR="001F59F4" w:rsidRDefault="009D79DB" w:rsidP="004038D6">
      <w:pPr>
        <w:spacing w:line="360" w:lineRule="auto"/>
        <w:rPr>
          <w:rFonts w:ascii="Arial" w:hAnsi="Arial" w:cs="Arial"/>
          <w:iCs/>
        </w:rPr>
      </w:pPr>
      <w:r w:rsidRPr="001F59F4">
        <w:rPr>
          <w:rFonts w:ascii="Arial" w:hAnsi="Arial" w:cs="Arial"/>
          <w:b/>
          <w:iCs/>
        </w:rPr>
        <w:t>R</w:t>
      </w:r>
      <w:r w:rsidR="001F59F4" w:rsidRPr="001F59F4">
        <w:rPr>
          <w:rFonts w:ascii="Arial" w:hAnsi="Arial" w:cs="Arial"/>
          <w:b/>
          <w:iCs/>
        </w:rPr>
        <w:t>esults:</w:t>
      </w:r>
      <w:r w:rsidR="001F59F4">
        <w:rPr>
          <w:rFonts w:ascii="Arial" w:hAnsi="Arial" w:cs="Arial"/>
          <w:iCs/>
        </w:rPr>
        <w:t xml:space="preserve"> </w:t>
      </w:r>
      <w:r w:rsidR="00812FCF" w:rsidRPr="00812FCF">
        <w:rPr>
          <w:rFonts w:ascii="Arial" w:hAnsi="Arial" w:cs="Arial"/>
          <w:iCs/>
        </w:rPr>
        <w:t>The median (25</w:t>
      </w:r>
      <w:r w:rsidR="00812FCF" w:rsidRPr="00812FCF">
        <w:rPr>
          <w:rFonts w:ascii="Arial" w:hAnsi="Arial" w:cs="Arial"/>
          <w:iCs/>
          <w:vertAlign w:val="superscript"/>
        </w:rPr>
        <w:t>th</w:t>
      </w:r>
      <w:r w:rsidR="00812FCF" w:rsidRPr="00812FCF">
        <w:rPr>
          <w:rFonts w:ascii="Arial" w:hAnsi="Arial" w:cs="Arial"/>
          <w:iCs/>
        </w:rPr>
        <w:t>, 75</w:t>
      </w:r>
      <w:r w:rsidR="00812FCF" w:rsidRPr="00812FCF">
        <w:rPr>
          <w:rFonts w:ascii="Arial" w:hAnsi="Arial" w:cs="Arial"/>
          <w:iCs/>
          <w:vertAlign w:val="superscript"/>
        </w:rPr>
        <w:t>th</w:t>
      </w:r>
      <w:r w:rsidR="00812FCF" w:rsidRPr="00812FCF">
        <w:rPr>
          <w:rFonts w:ascii="Arial" w:hAnsi="Arial" w:cs="Arial"/>
          <w:iCs/>
        </w:rPr>
        <w:t xml:space="preserve"> percentile) annual CKD-EPI eGFR change was -2.4 (-0.5 to -5.5) ml/min/1.73m</w:t>
      </w:r>
      <w:r w:rsidR="00812FCF" w:rsidRPr="00812FCF">
        <w:rPr>
          <w:rFonts w:ascii="Arial" w:hAnsi="Arial" w:cs="Arial"/>
          <w:iCs/>
          <w:vertAlign w:val="superscript"/>
        </w:rPr>
        <w:t>2</w:t>
      </w:r>
      <w:r w:rsidR="00812FCF" w:rsidRPr="00812FCF">
        <w:rPr>
          <w:rFonts w:ascii="Arial" w:hAnsi="Arial" w:cs="Arial"/>
          <w:iCs/>
        </w:rPr>
        <w:t xml:space="preserve"> over a follow-up of 3.0 (2.5, 3.3) years.</w:t>
      </w:r>
      <w:r w:rsidR="00800222">
        <w:rPr>
          <w:rFonts w:ascii="Arial" w:hAnsi="Arial" w:cs="Arial"/>
          <w:iCs/>
        </w:rPr>
        <w:t xml:space="preserve"> </w:t>
      </w:r>
      <w:r w:rsidR="00812FCF">
        <w:rPr>
          <w:rFonts w:ascii="Arial" w:hAnsi="Arial" w:cs="Arial"/>
          <w:iCs/>
        </w:rPr>
        <w:t>I</w:t>
      </w:r>
      <w:r w:rsidR="001F59F4" w:rsidRPr="001F59F4">
        <w:rPr>
          <w:rFonts w:ascii="Arial" w:hAnsi="Arial" w:cs="Arial"/>
          <w:iCs/>
        </w:rPr>
        <w:t>n individuals with diabetes</w:t>
      </w:r>
      <w:r w:rsidR="00800222">
        <w:rPr>
          <w:rFonts w:ascii="Arial" w:hAnsi="Arial" w:cs="Arial"/>
          <w:iCs/>
        </w:rPr>
        <w:t xml:space="preserve"> (n=</w:t>
      </w:r>
      <w:r w:rsidR="00BB6E83">
        <w:rPr>
          <w:rFonts w:ascii="Arial" w:hAnsi="Arial" w:cs="Arial"/>
          <w:iCs/>
        </w:rPr>
        <w:t>218</w:t>
      </w:r>
      <w:r w:rsidR="00800222">
        <w:rPr>
          <w:rFonts w:ascii="Arial" w:hAnsi="Arial" w:cs="Arial"/>
          <w:iCs/>
        </w:rPr>
        <w:t>)</w:t>
      </w:r>
      <w:r w:rsidR="001F59F4" w:rsidRPr="001F59F4">
        <w:rPr>
          <w:rFonts w:ascii="Arial" w:hAnsi="Arial" w:cs="Arial"/>
          <w:iCs/>
        </w:rPr>
        <w:t>, but not those without diabetes</w:t>
      </w:r>
      <w:r w:rsidR="00800222">
        <w:rPr>
          <w:rFonts w:ascii="Arial" w:hAnsi="Arial" w:cs="Arial"/>
          <w:iCs/>
        </w:rPr>
        <w:t xml:space="preserve"> </w:t>
      </w:r>
      <w:r w:rsidR="00BB6E83">
        <w:rPr>
          <w:rFonts w:ascii="Arial" w:hAnsi="Arial" w:cs="Arial"/>
          <w:iCs/>
        </w:rPr>
        <w:t>(n=278)</w:t>
      </w:r>
      <w:r w:rsidR="001F59F4" w:rsidRPr="001F59F4">
        <w:rPr>
          <w:rFonts w:ascii="Arial" w:hAnsi="Arial" w:cs="Arial"/>
          <w:iCs/>
        </w:rPr>
        <w:t xml:space="preserve">, higher baseline </w:t>
      </w:r>
      <w:proofErr w:type="spellStart"/>
      <w:r w:rsidR="001F59F4" w:rsidRPr="001F59F4">
        <w:rPr>
          <w:rFonts w:ascii="Arial" w:hAnsi="Arial" w:cs="Arial"/>
          <w:iCs/>
        </w:rPr>
        <w:t>hs-TnT</w:t>
      </w:r>
      <w:proofErr w:type="spellEnd"/>
      <w:r w:rsidR="001F59F4" w:rsidRPr="001F59F4">
        <w:rPr>
          <w:rFonts w:ascii="Arial" w:hAnsi="Arial" w:cs="Arial"/>
          <w:iCs/>
        </w:rPr>
        <w:t xml:space="preserve"> (-2.1 [-4.1 to -0.2], p=0.033) and sTNFR-1 (-1.8 [-3.5 to -0.1], p=0.039) predicted mean (95% CI) eGFR change, after adjusting for age, gender, baseline eGFR and urinary albumin-to-creatinine ratio. </w:t>
      </w:r>
      <w:r w:rsidR="00812FCF">
        <w:rPr>
          <w:rFonts w:ascii="Arial" w:hAnsi="Arial" w:cs="Arial"/>
          <w:iCs/>
        </w:rPr>
        <w:t xml:space="preserve">Results remained </w:t>
      </w:r>
      <w:r w:rsidR="00BC284D">
        <w:rPr>
          <w:rFonts w:ascii="Arial" w:hAnsi="Arial" w:cs="Arial"/>
          <w:iCs/>
        </w:rPr>
        <w:t xml:space="preserve">significant </w:t>
      </w:r>
      <w:r w:rsidR="00812FCF">
        <w:rPr>
          <w:rFonts w:ascii="Arial" w:hAnsi="Arial" w:cs="Arial"/>
          <w:iCs/>
        </w:rPr>
        <w:t xml:space="preserve">with further adjustment for </w:t>
      </w:r>
      <w:r w:rsidR="00812FCF" w:rsidRPr="00812FCF">
        <w:rPr>
          <w:rFonts w:ascii="Arial" w:hAnsi="Arial" w:cs="Arial"/>
          <w:iCs/>
        </w:rPr>
        <w:t>hypertension, blood pressure, BMI, waist circumference, HbA</w:t>
      </w:r>
      <w:r w:rsidR="00812FCF" w:rsidRPr="00AE7BA7">
        <w:rPr>
          <w:rFonts w:ascii="Arial" w:hAnsi="Arial" w:cs="Arial"/>
          <w:iCs/>
          <w:vertAlign w:val="subscript"/>
        </w:rPr>
        <w:t>1c</w:t>
      </w:r>
      <w:r w:rsidR="00812FCF" w:rsidRPr="00812FCF">
        <w:rPr>
          <w:rFonts w:ascii="Arial" w:hAnsi="Arial" w:cs="Arial"/>
          <w:iCs/>
        </w:rPr>
        <w:t xml:space="preserve">, smoking or </w:t>
      </w:r>
      <w:r w:rsidR="00812FCF">
        <w:rPr>
          <w:rFonts w:ascii="Arial" w:hAnsi="Arial" w:cs="Arial"/>
          <w:iCs/>
        </w:rPr>
        <w:t xml:space="preserve">C-reactive protein. </w:t>
      </w:r>
      <w:r w:rsidR="001F59F4" w:rsidRPr="001F59F4">
        <w:rPr>
          <w:rFonts w:ascii="Arial" w:hAnsi="Arial" w:cs="Arial"/>
          <w:iCs/>
        </w:rPr>
        <w:t xml:space="preserve">Baseline variables explained 11% of eGFR </w:t>
      </w:r>
      <w:r w:rsidR="00D626E0">
        <w:rPr>
          <w:rFonts w:ascii="Arial" w:hAnsi="Arial" w:cs="Arial"/>
          <w:iCs/>
        </w:rPr>
        <w:t xml:space="preserve">annual </w:t>
      </w:r>
      <w:r w:rsidR="001F59F4" w:rsidRPr="001F59F4">
        <w:rPr>
          <w:rFonts w:ascii="Arial" w:hAnsi="Arial" w:cs="Arial"/>
          <w:iCs/>
        </w:rPr>
        <w:t xml:space="preserve">decline variance; increasing to 27% (p&lt;0.001) with biomarkers. </w:t>
      </w:r>
      <w:r w:rsidR="00BB6E83">
        <w:rPr>
          <w:rFonts w:ascii="Arial" w:hAnsi="Arial" w:cs="Arial"/>
          <w:iCs/>
        </w:rPr>
        <w:t xml:space="preserve">Fifty-six participants progressed to the combined kidney health outcome. </w:t>
      </w:r>
      <w:r w:rsidR="001F59F4" w:rsidRPr="001F59F4">
        <w:rPr>
          <w:rFonts w:ascii="Arial" w:hAnsi="Arial" w:cs="Arial"/>
          <w:iCs/>
        </w:rPr>
        <w:t xml:space="preserve">In </w:t>
      </w:r>
      <w:r w:rsidR="00D626E0">
        <w:rPr>
          <w:rFonts w:ascii="Arial" w:hAnsi="Arial" w:cs="Arial"/>
          <w:iCs/>
        </w:rPr>
        <w:t xml:space="preserve">individuals with </w:t>
      </w:r>
      <w:r w:rsidR="001F59F4" w:rsidRPr="001F59F4">
        <w:rPr>
          <w:rFonts w:ascii="Arial" w:hAnsi="Arial" w:cs="Arial"/>
          <w:iCs/>
        </w:rPr>
        <w:t xml:space="preserve">diabetes, </w:t>
      </w:r>
      <w:proofErr w:type="spellStart"/>
      <w:r w:rsidR="001F59F4" w:rsidRPr="001F59F4">
        <w:rPr>
          <w:rFonts w:ascii="Arial" w:hAnsi="Arial" w:cs="Arial"/>
          <w:iCs/>
        </w:rPr>
        <w:t>hs-TnT</w:t>
      </w:r>
      <w:proofErr w:type="spellEnd"/>
      <w:r w:rsidR="001F59F4" w:rsidRPr="001F59F4">
        <w:rPr>
          <w:rFonts w:ascii="Arial" w:hAnsi="Arial" w:cs="Arial"/>
          <w:iCs/>
        </w:rPr>
        <w:t xml:space="preserve"> and </w:t>
      </w:r>
      <w:proofErr w:type="spellStart"/>
      <w:r w:rsidR="001F59F4" w:rsidRPr="001F59F4">
        <w:rPr>
          <w:rFonts w:ascii="Arial" w:hAnsi="Arial" w:cs="Arial"/>
          <w:iCs/>
        </w:rPr>
        <w:t>hs-TnI</w:t>
      </w:r>
      <w:proofErr w:type="spellEnd"/>
      <w:r w:rsidR="001F59F4" w:rsidRPr="001F59F4">
        <w:rPr>
          <w:rFonts w:ascii="Arial" w:hAnsi="Arial" w:cs="Arial"/>
          <w:iCs/>
        </w:rPr>
        <w:t xml:space="preserve"> were significantly associated with increased risk of kidney health outcomes.</w:t>
      </w:r>
    </w:p>
    <w:p w14:paraId="358CAFB5" w14:textId="77777777" w:rsidR="001F59F4" w:rsidRPr="001F59F4" w:rsidRDefault="001F59F4" w:rsidP="004038D6">
      <w:pPr>
        <w:spacing w:line="360" w:lineRule="auto"/>
        <w:rPr>
          <w:rFonts w:ascii="Arial" w:hAnsi="Arial" w:cs="Arial"/>
          <w:iCs/>
        </w:rPr>
      </w:pPr>
    </w:p>
    <w:p w14:paraId="3C5F17FB" w14:textId="1016B6C3" w:rsidR="009D79DB" w:rsidRPr="001F59F4" w:rsidRDefault="009D79DB" w:rsidP="004038D6">
      <w:pPr>
        <w:spacing w:line="360" w:lineRule="auto"/>
        <w:rPr>
          <w:rFonts w:ascii="Arial" w:hAnsi="Arial" w:cs="Arial"/>
          <w:iCs/>
        </w:rPr>
      </w:pPr>
      <w:r w:rsidRPr="001F59F4">
        <w:rPr>
          <w:rFonts w:ascii="Arial" w:hAnsi="Arial" w:cs="Arial"/>
          <w:b/>
          <w:iCs/>
        </w:rPr>
        <w:t>C</w:t>
      </w:r>
      <w:r w:rsidR="008427FA" w:rsidRPr="001F59F4">
        <w:rPr>
          <w:rFonts w:ascii="Arial" w:hAnsi="Arial" w:cs="Arial"/>
          <w:b/>
          <w:iCs/>
        </w:rPr>
        <w:t>onclusion</w:t>
      </w:r>
      <w:r w:rsidR="001F59F4" w:rsidRPr="001F59F4">
        <w:rPr>
          <w:rFonts w:ascii="Arial" w:hAnsi="Arial" w:cs="Arial"/>
          <w:b/>
          <w:iCs/>
        </w:rPr>
        <w:t>:</w:t>
      </w:r>
      <w:r w:rsidR="001F59F4">
        <w:rPr>
          <w:rFonts w:ascii="Arial" w:hAnsi="Arial" w:cs="Arial"/>
          <w:iCs/>
        </w:rPr>
        <w:t xml:space="preserve"> </w:t>
      </w:r>
      <w:r w:rsidR="001F59F4" w:rsidRPr="001F59F4">
        <w:rPr>
          <w:rFonts w:ascii="Arial" w:hAnsi="Arial" w:cs="Arial"/>
          <w:iCs/>
        </w:rPr>
        <w:t>Cardiovascular, kidney and inflammatory biomarkers are likely associated with kidney function loss in</w:t>
      </w:r>
      <w:r w:rsidR="00116A68">
        <w:rPr>
          <w:rFonts w:ascii="Arial" w:hAnsi="Arial" w:cs="Arial"/>
          <w:iCs/>
        </w:rPr>
        <w:t xml:space="preserve"> individuals with</w:t>
      </w:r>
      <w:r w:rsidR="001F59F4" w:rsidRPr="001F59F4">
        <w:rPr>
          <w:rFonts w:ascii="Arial" w:hAnsi="Arial" w:cs="Arial"/>
          <w:iCs/>
        </w:rPr>
        <w:t xml:space="preserve"> diabetes, with particularly prominent associations for cardiac injury markers.</w:t>
      </w:r>
    </w:p>
    <w:p w14:paraId="580ECF4E" w14:textId="216BC01E" w:rsidR="004038D6" w:rsidRDefault="00812FCF" w:rsidP="004038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Words </w:t>
      </w:r>
      <w:r w:rsidR="00BC284D">
        <w:rPr>
          <w:rFonts w:ascii="Arial" w:hAnsi="Arial" w:cs="Arial"/>
        </w:rPr>
        <w:t>299</w:t>
      </w:r>
      <w:r>
        <w:rPr>
          <w:rFonts w:ascii="Arial" w:hAnsi="Arial" w:cs="Arial"/>
        </w:rPr>
        <w:t xml:space="preserve"> (max 300)</w:t>
      </w:r>
    </w:p>
    <w:p w14:paraId="3FA2D294" w14:textId="77777777" w:rsidR="00812FCF" w:rsidRPr="001F59F4" w:rsidRDefault="00812FCF" w:rsidP="004038D6">
      <w:pPr>
        <w:spacing w:line="360" w:lineRule="auto"/>
        <w:rPr>
          <w:rFonts w:ascii="Arial" w:hAnsi="Arial" w:cs="Arial"/>
        </w:rPr>
      </w:pPr>
    </w:p>
    <w:sectPr w:rsidR="00812FCF" w:rsidRPr="001F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0AC"/>
    <w:multiLevelType w:val="hybridMultilevel"/>
    <w:tmpl w:val="C78A8C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6CE4"/>
    <w:multiLevelType w:val="hybridMultilevel"/>
    <w:tmpl w:val="07DE3BF8"/>
    <w:lvl w:ilvl="0" w:tplc="851E30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A"/>
    <w:rsid w:val="00116A68"/>
    <w:rsid w:val="001F59F4"/>
    <w:rsid w:val="0028124D"/>
    <w:rsid w:val="00376B39"/>
    <w:rsid w:val="004038D6"/>
    <w:rsid w:val="004E09DD"/>
    <w:rsid w:val="007057FC"/>
    <w:rsid w:val="007244F0"/>
    <w:rsid w:val="00800222"/>
    <w:rsid w:val="00812FCF"/>
    <w:rsid w:val="00830A4D"/>
    <w:rsid w:val="008427FA"/>
    <w:rsid w:val="008953CF"/>
    <w:rsid w:val="00924C5B"/>
    <w:rsid w:val="00960271"/>
    <w:rsid w:val="009A582D"/>
    <w:rsid w:val="009D79DB"/>
    <w:rsid w:val="009E6459"/>
    <w:rsid w:val="00A710A7"/>
    <w:rsid w:val="00A85759"/>
    <w:rsid w:val="00AE7BA7"/>
    <w:rsid w:val="00AF5F44"/>
    <w:rsid w:val="00B57E4E"/>
    <w:rsid w:val="00BB6E83"/>
    <w:rsid w:val="00BC284D"/>
    <w:rsid w:val="00BC73E4"/>
    <w:rsid w:val="00D56368"/>
    <w:rsid w:val="00D626E0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cab52c9b-ab33-4221-8af9-54f8f2b86a8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Elizabeth Barr</cp:lastModifiedBy>
  <cp:revision>3</cp:revision>
  <dcterms:created xsi:type="dcterms:W3CDTF">2025-05-22T00:53:00Z</dcterms:created>
  <dcterms:modified xsi:type="dcterms:W3CDTF">2025-05-22T00:54:00Z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