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A07F" w14:textId="68F9807C" w:rsidR="00B61DC2" w:rsidRPr="00BD132D" w:rsidRDefault="003C080B" w:rsidP="004056D9">
      <w:pPr>
        <w:rPr>
          <w:rFonts w:ascii="Arial" w:hAnsi="Arial" w:cs="Arial"/>
          <w:b/>
          <w:bCs/>
          <w:sz w:val="22"/>
          <w:szCs w:val="22"/>
        </w:rPr>
      </w:pPr>
      <w:r w:rsidRPr="00BD132D">
        <w:rPr>
          <w:rFonts w:ascii="Arial" w:hAnsi="Arial" w:cs="Arial"/>
          <w:b/>
          <w:bCs/>
          <w:sz w:val="22"/>
          <w:szCs w:val="22"/>
          <w:shd w:val="clear" w:color="auto" w:fill="FFFFFF"/>
        </w:rPr>
        <w:t>Impact of acute and chronic</w:t>
      </w:r>
      <w:r w:rsidR="00B61DC2" w:rsidRPr="00BD132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glycaemi</w:t>
      </w:r>
      <w:r w:rsidRPr="00BD132D">
        <w:rPr>
          <w:rFonts w:ascii="Arial" w:hAnsi="Arial" w:cs="Arial"/>
          <w:b/>
          <w:bCs/>
          <w:sz w:val="22"/>
          <w:szCs w:val="22"/>
          <w:shd w:val="clear" w:color="auto" w:fill="FFFFFF"/>
        </w:rPr>
        <w:t>c control</w:t>
      </w:r>
      <w:r w:rsidR="00B61DC2" w:rsidRPr="00BD132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BD132D">
        <w:rPr>
          <w:rFonts w:ascii="Arial" w:hAnsi="Arial" w:cs="Arial"/>
          <w:b/>
          <w:bCs/>
          <w:sz w:val="22"/>
          <w:szCs w:val="22"/>
          <w:shd w:val="clear" w:color="auto" w:fill="FFFFFF"/>
        </w:rPr>
        <w:t>on</w:t>
      </w:r>
      <w:r w:rsidR="00B61DC2" w:rsidRPr="00BD132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mortality post cardiac surgery</w:t>
      </w:r>
    </w:p>
    <w:p w14:paraId="546A5D03" w14:textId="77777777" w:rsidR="00B61DC2" w:rsidRPr="00BD132D" w:rsidRDefault="00B61DC2" w:rsidP="004056D9">
      <w:pPr>
        <w:rPr>
          <w:rFonts w:ascii="Arial" w:hAnsi="Arial" w:cs="Arial"/>
          <w:b/>
          <w:bCs/>
          <w:sz w:val="22"/>
          <w:szCs w:val="22"/>
        </w:rPr>
      </w:pPr>
    </w:p>
    <w:p w14:paraId="38D8D588" w14:textId="25A710CC" w:rsidR="00B61DC2" w:rsidRPr="00BD132D" w:rsidRDefault="00BD132D" w:rsidP="004056D9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Aims</w:t>
      </w:r>
    </w:p>
    <w:p w14:paraId="7184987F" w14:textId="391BD2B4" w:rsidR="00B61DC2" w:rsidRPr="00BD132D" w:rsidRDefault="00D05163" w:rsidP="004056D9">
      <w:pPr>
        <w:rPr>
          <w:rFonts w:ascii="Arial" w:hAnsi="Arial" w:cs="Arial"/>
          <w:sz w:val="22"/>
          <w:szCs w:val="22"/>
        </w:rPr>
      </w:pPr>
      <w:r w:rsidRPr="00BD132D">
        <w:rPr>
          <w:rFonts w:ascii="Arial" w:hAnsi="Arial" w:cs="Arial"/>
          <w:sz w:val="22"/>
          <w:szCs w:val="22"/>
        </w:rPr>
        <w:t xml:space="preserve">In the critically ill, with and without diabetes, </w:t>
      </w:r>
      <w:r w:rsidR="00B61DC2" w:rsidRPr="00BD132D">
        <w:rPr>
          <w:rFonts w:ascii="Arial" w:hAnsi="Arial" w:cs="Arial"/>
          <w:sz w:val="22"/>
          <w:szCs w:val="22"/>
        </w:rPr>
        <w:t xml:space="preserve">hyperglycaemia </w:t>
      </w:r>
      <w:r w:rsidRPr="00BD132D">
        <w:rPr>
          <w:rFonts w:ascii="Arial" w:hAnsi="Arial" w:cs="Arial"/>
          <w:sz w:val="22"/>
          <w:szCs w:val="22"/>
        </w:rPr>
        <w:t xml:space="preserve">and </w:t>
      </w:r>
      <w:r w:rsidR="00B61DC2" w:rsidRPr="00BD132D">
        <w:rPr>
          <w:rFonts w:ascii="Arial" w:hAnsi="Arial" w:cs="Arial"/>
          <w:sz w:val="22"/>
          <w:szCs w:val="22"/>
        </w:rPr>
        <w:t xml:space="preserve">glycaemic variability are associated with adverse outcomes, </w:t>
      </w:r>
      <w:r w:rsidR="003C080B" w:rsidRPr="00BD132D">
        <w:rPr>
          <w:rFonts w:ascii="Arial" w:hAnsi="Arial" w:cs="Arial"/>
          <w:sz w:val="22"/>
          <w:szCs w:val="22"/>
        </w:rPr>
        <w:t>but</w:t>
      </w:r>
      <w:r w:rsidR="00B61DC2" w:rsidRPr="00BD132D">
        <w:rPr>
          <w:rFonts w:ascii="Arial" w:hAnsi="Arial" w:cs="Arial"/>
          <w:sz w:val="22"/>
          <w:szCs w:val="22"/>
        </w:rPr>
        <w:t xml:space="preserve"> the strength of this association </w:t>
      </w:r>
      <w:r w:rsidR="003C080B" w:rsidRPr="00BD132D">
        <w:rPr>
          <w:rFonts w:ascii="Arial" w:hAnsi="Arial" w:cs="Arial"/>
          <w:sz w:val="22"/>
          <w:szCs w:val="22"/>
        </w:rPr>
        <w:t>is</w:t>
      </w:r>
      <w:r w:rsidR="00B61DC2" w:rsidRPr="00BD132D">
        <w:rPr>
          <w:rFonts w:ascii="Arial" w:hAnsi="Arial" w:cs="Arial"/>
          <w:sz w:val="22"/>
          <w:szCs w:val="22"/>
        </w:rPr>
        <w:t xml:space="preserve"> attenuated by premorbid hyperglycaemia. </w:t>
      </w:r>
      <w:r w:rsidRPr="00BD132D">
        <w:rPr>
          <w:rFonts w:ascii="Arial" w:hAnsi="Arial" w:cs="Arial"/>
          <w:sz w:val="22"/>
          <w:szCs w:val="22"/>
        </w:rPr>
        <w:t>T</w:t>
      </w:r>
      <w:r w:rsidR="00B61DC2" w:rsidRPr="00BD132D">
        <w:rPr>
          <w:rFonts w:ascii="Arial" w:hAnsi="Arial" w:cs="Arial"/>
          <w:sz w:val="22"/>
          <w:szCs w:val="22"/>
        </w:rPr>
        <w:t>he cardiac surgical population</w:t>
      </w:r>
      <w:r w:rsidRPr="00BD132D">
        <w:rPr>
          <w:rFonts w:ascii="Arial" w:hAnsi="Arial" w:cs="Arial"/>
          <w:sz w:val="22"/>
          <w:szCs w:val="22"/>
        </w:rPr>
        <w:t xml:space="preserve"> is </w:t>
      </w:r>
      <w:r w:rsidR="003C080B" w:rsidRPr="00BD132D">
        <w:rPr>
          <w:rFonts w:ascii="Arial" w:hAnsi="Arial" w:cs="Arial"/>
          <w:sz w:val="22"/>
          <w:szCs w:val="22"/>
        </w:rPr>
        <w:t xml:space="preserve">a </w:t>
      </w:r>
      <w:r w:rsidRPr="00BD132D">
        <w:rPr>
          <w:rFonts w:ascii="Arial" w:hAnsi="Arial" w:cs="Arial"/>
          <w:sz w:val="22"/>
          <w:szCs w:val="22"/>
        </w:rPr>
        <w:t>demographically and physiologically distinct cohort,</w:t>
      </w:r>
      <w:r w:rsidR="00B61DC2" w:rsidRPr="00BD132D">
        <w:rPr>
          <w:rFonts w:ascii="Arial" w:hAnsi="Arial" w:cs="Arial"/>
          <w:sz w:val="22"/>
          <w:szCs w:val="22"/>
        </w:rPr>
        <w:t xml:space="preserve"> </w:t>
      </w:r>
      <w:r w:rsidR="003C080B" w:rsidRPr="00BD132D">
        <w:rPr>
          <w:rFonts w:ascii="Arial" w:hAnsi="Arial" w:cs="Arial"/>
          <w:sz w:val="22"/>
          <w:szCs w:val="22"/>
        </w:rPr>
        <w:t>where</w:t>
      </w:r>
      <w:r w:rsidRPr="00BD132D">
        <w:rPr>
          <w:rFonts w:ascii="Arial" w:hAnsi="Arial" w:cs="Arial"/>
          <w:sz w:val="22"/>
          <w:szCs w:val="22"/>
        </w:rPr>
        <w:t xml:space="preserve"> </w:t>
      </w:r>
      <w:r w:rsidR="00B61DC2" w:rsidRPr="00BD132D">
        <w:rPr>
          <w:rFonts w:ascii="Arial" w:hAnsi="Arial" w:cs="Arial"/>
          <w:sz w:val="22"/>
          <w:szCs w:val="22"/>
        </w:rPr>
        <w:t xml:space="preserve">the </w:t>
      </w:r>
      <w:r w:rsidR="003C080B" w:rsidRPr="00BD132D">
        <w:rPr>
          <w:rFonts w:ascii="Arial" w:hAnsi="Arial" w:cs="Arial"/>
          <w:sz w:val="22"/>
          <w:szCs w:val="22"/>
        </w:rPr>
        <w:t>relationships between glucose metrics and outcomes are</w:t>
      </w:r>
      <w:r w:rsidR="00B61DC2" w:rsidRPr="00BD132D">
        <w:rPr>
          <w:rFonts w:ascii="Arial" w:hAnsi="Arial" w:cs="Arial"/>
          <w:sz w:val="22"/>
          <w:szCs w:val="22"/>
        </w:rPr>
        <w:t xml:space="preserve"> poorly defined.</w:t>
      </w:r>
    </w:p>
    <w:p w14:paraId="228E0ECF" w14:textId="39F4011F" w:rsidR="00B61DC2" w:rsidRPr="00BD132D" w:rsidRDefault="00BD132D" w:rsidP="00405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study aimed t</w:t>
      </w:r>
      <w:r w:rsidR="00B61DC2" w:rsidRPr="00BD132D">
        <w:rPr>
          <w:rFonts w:ascii="Arial" w:hAnsi="Arial" w:cs="Arial"/>
          <w:sz w:val="22"/>
          <w:szCs w:val="22"/>
        </w:rPr>
        <w:t xml:space="preserve">o characterise the relationship </w:t>
      </w:r>
      <w:r w:rsidR="003C080B" w:rsidRPr="00BD132D">
        <w:rPr>
          <w:rFonts w:ascii="Arial" w:hAnsi="Arial" w:cs="Arial"/>
          <w:sz w:val="22"/>
          <w:szCs w:val="22"/>
        </w:rPr>
        <w:t xml:space="preserve">of acute mortality with </w:t>
      </w:r>
      <w:r w:rsidR="00B61DC2" w:rsidRPr="00BD132D">
        <w:rPr>
          <w:rFonts w:ascii="Arial" w:hAnsi="Arial" w:cs="Arial"/>
          <w:sz w:val="22"/>
          <w:szCs w:val="22"/>
        </w:rPr>
        <w:t>acute dysglycaemia</w:t>
      </w:r>
      <w:r w:rsidR="003C080B" w:rsidRPr="00BD132D">
        <w:rPr>
          <w:rFonts w:ascii="Arial" w:hAnsi="Arial" w:cs="Arial"/>
          <w:sz w:val="22"/>
          <w:szCs w:val="22"/>
        </w:rPr>
        <w:t xml:space="preserve"> and</w:t>
      </w:r>
      <w:r w:rsidR="00B61DC2" w:rsidRPr="00BD132D">
        <w:rPr>
          <w:rFonts w:ascii="Arial" w:hAnsi="Arial" w:cs="Arial"/>
          <w:sz w:val="22"/>
          <w:szCs w:val="22"/>
        </w:rPr>
        <w:t xml:space="preserve"> chronic hyperglycaemia</w:t>
      </w:r>
      <w:r w:rsidR="003C080B" w:rsidRPr="00BD132D">
        <w:rPr>
          <w:rFonts w:ascii="Arial" w:hAnsi="Arial" w:cs="Arial"/>
          <w:sz w:val="22"/>
          <w:szCs w:val="22"/>
        </w:rPr>
        <w:t>,</w:t>
      </w:r>
      <w:r w:rsidR="00B61DC2" w:rsidRPr="00BD132D">
        <w:rPr>
          <w:rFonts w:ascii="Arial" w:hAnsi="Arial" w:cs="Arial"/>
          <w:sz w:val="22"/>
          <w:szCs w:val="22"/>
        </w:rPr>
        <w:t xml:space="preserve"> in a cardiac surgical population.</w:t>
      </w:r>
    </w:p>
    <w:p w14:paraId="3EDAD6B1" w14:textId="77777777" w:rsidR="00B61DC2" w:rsidRPr="00BD132D" w:rsidRDefault="00B61DC2" w:rsidP="004056D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D132D">
        <w:rPr>
          <w:rFonts w:ascii="Arial" w:hAnsi="Arial" w:cs="Arial"/>
          <w:b/>
          <w:bCs/>
          <w:i/>
          <w:iCs/>
          <w:sz w:val="22"/>
          <w:szCs w:val="22"/>
        </w:rPr>
        <w:t>Methods</w:t>
      </w:r>
    </w:p>
    <w:p w14:paraId="6C6B26AE" w14:textId="54DD12A4" w:rsidR="00B61DC2" w:rsidRPr="00BD132D" w:rsidRDefault="00D05163" w:rsidP="004056D9">
      <w:pPr>
        <w:rPr>
          <w:rFonts w:ascii="Arial" w:hAnsi="Arial" w:cs="Arial"/>
          <w:sz w:val="22"/>
          <w:szCs w:val="22"/>
        </w:rPr>
      </w:pPr>
      <w:r w:rsidRPr="00BD132D">
        <w:rPr>
          <w:rFonts w:ascii="Arial" w:hAnsi="Arial" w:cs="Arial"/>
          <w:sz w:val="22"/>
          <w:szCs w:val="22"/>
        </w:rPr>
        <w:t>A</w:t>
      </w:r>
      <w:r w:rsidR="00B61DC2" w:rsidRPr="00BD132D">
        <w:rPr>
          <w:rFonts w:ascii="Arial" w:hAnsi="Arial" w:cs="Arial"/>
          <w:sz w:val="22"/>
          <w:szCs w:val="22"/>
        </w:rPr>
        <w:t xml:space="preserve"> dataset of cardiac surgical patients</w:t>
      </w:r>
      <w:r w:rsidR="003C080B" w:rsidRPr="00BD132D">
        <w:rPr>
          <w:rFonts w:ascii="Arial" w:hAnsi="Arial" w:cs="Arial"/>
          <w:sz w:val="22"/>
          <w:szCs w:val="22"/>
        </w:rPr>
        <w:t xml:space="preserve"> from 2008 to 2019</w:t>
      </w:r>
      <w:r w:rsidR="00B61DC2" w:rsidRPr="00BD132D">
        <w:rPr>
          <w:rFonts w:ascii="Arial" w:hAnsi="Arial" w:cs="Arial"/>
          <w:sz w:val="22"/>
          <w:szCs w:val="22"/>
        </w:rPr>
        <w:t xml:space="preserve">, </w:t>
      </w:r>
      <w:r w:rsidR="003C080B" w:rsidRPr="00BD132D">
        <w:rPr>
          <w:rFonts w:ascii="Arial" w:hAnsi="Arial" w:cs="Arial"/>
          <w:sz w:val="22"/>
          <w:szCs w:val="22"/>
        </w:rPr>
        <w:t>comprising</w:t>
      </w:r>
      <w:r w:rsidR="00B61DC2" w:rsidRPr="00BD132D">
        <w:rPr>
          <w:rFonts w:ascii="Arial" w:hAnsi="Arial" w:cs="Arial"/>
          <w:sz w:val="22"/>
          <w:szCs w:val="22"/>
        </w:rPr>
        <w:t xml:space="preserve"> adult</w:t>
      </w:r>
      <w:r w:rsidR="003C080B" w:rsidRPr="00BD132D">
        <w:rPr>
          <w:rFonts w:ascii="Arial" w:hAnsi="Arial" w:cs="Arial"/>
          <w:sz w:val="22"/>
          <w:szCs w:val="22"/>
        </w:rPr>
        <w:t>s</w:t>
      </w:r>
      <w:r w:rsidR="00B61DC2" w:rsidRPr="00BD132D">
        <w:rPr>
          <w:rFonts w:ascii="Arial" w:hAnsi="Arial" w:cs="Arial"/>
          <w:sz w:val="22"/>
          <w:szCs w:val="22"/>
        </w:rPr>
        <w:t xml:space="preserve"> post coronary artery bypass grafting (CABG), valvular surgery, or a combined procedure</w:t>
      </w:r>
      <w:r w:rsidRPr="00BD132D">
        <w:rPr>
          <w:rFonts w:ascii="Arial" w:hAnsi="Arial" w:cs="Arial"/>
          <w:sz w:val="22"/>
          <w:szCs w:val="22"/>
        </w:rPr>
        <w:t>, was compiled using the Medical Information Mart for Intensive Care IV v1.0 (MIMIC IV-v1.0) database</w:t>
      </w:r>
      <w:r w:rsidR="00B61DC2" w:rsidRPr="00BD132D">
        <w:rPr>
          <w:rFonts w:ascii="Arial" w:hAnsi="Arial" w:cs="Arial"/>
          <w:sz w:val="22"/>
          <w:szCs w:val="22"/>
        </w:rPr>
        <w:t>. Multivari</w:t>
      </w:r>
      <w:r w:rsidR="003C080B" w:rsidRPr="00BD132D">
        <w:rPr>
          <w:rFonts w:ascii="Arial" w:hAnsi="Arial" w:cs="Arial"/>
          <w:sz w:val="22"/>
          <w:szCs w:val="22"/>
        </w:rPr>
        <w:t>ate</w:t>
      </w:r>
      <w:r w:rsidR="00B61DC2" w:rsidRPr="00BD132D">
        <w:rPr>
          <w:rFonts w:ascii="Arial" w:hAnsi="Arial" w:cs="Arial"/>
          <w:sz w:val="22"/>
          <w:szCs w:val="22"/>
        </w:rPr>
        <w:t xml:space="preserve"> analysis was performed to assess the independent effect of glucose metrics on mortality while controlling for </w:t>
      </w:r>
      <w:r w:rsidR="003C080B" w:rsidRPr="00BD132D">
        <w:rPr>
          <w:rFonts w:ascii="Arial" w:hAnsi="Arial" w:cs="Arial"/>
          <w:sz w:val="22"/>
          <w:szCs w:val="22"/>
        </w:rPr>
        <w:t xml:space="preserve">potential </w:t>
      </w:r>
      <w:r w:rsidR="00B61DC2" w:rsidRPr="00BD132D">
        <w:rPr>
          <w:rFonts w:ascii="Arial" w:hAnsi="Arial" w:cs="Arial"/>
          <w:sz w:val="22"/>
          <w:szCs w:val="22"/>
        </w:rPr>
        <w:t xml:space="preserve">confounders. Prior hyperglycaemia was </w:t>
      </w:r>
      <w:r w:rsidR="003C080B" w:rsidRPr="00BD132D">
        <w:rPr>
          <w:rFonts w:ascii="Arial" w:hAnsi="Arial" w:cs="Arial"/>
          <w:sz w:val="22"/>
          <w:szCs w:val="22"/>
        </w:rPr>
        <w:t>determin</w:t>
      </w:r>
      <w:r w:rsidR="00B61DC2" w:rsidRPr="00BD132D">
        <w:rPr>
          <w:rFonts w:ascii="Arial" w:hAnsi="Arial" w:cs="Arial"/>
          <w:sz w:val="22"/>
          <w:szCs w:val="22"/>
        </w:rPr>
        <w:t xml:space="preserve">ed by </w:t>
      </w:r>
      <w:r w:rsidRPr="00BD132D">
        <w:rPr>
          <w:rFonts w:ascii="Arial" w:hAnsi="Arial" w:cs="Arial"/>
          <w:sz w:val="22"/>
          <w:szCs w:val="22"/>
        </w:rPr>
        <w:t xml:space="preserve">preoperative </w:t>
      </w:r>
      <w:r w:rsidR="00B61DC2" w:rsidRPr="00BD132D">
        <w:rPr>
          <w:rFonts w:ascii="Arial" w:hAnsi="Arial" w:cs="Arial"/>
          <w:sz w:val="22"/>
          <w:szCs w:val="22"/>
        </w:rPr>
        <w:t>measurement of glycated haemoglobin (HbA</w:t>
      </w:r>
      <w:r w:rsidR="00B61DC2" w:rsidRPr="00BD132D">
        <w:rPr>
          <w:rFonts w:ascii="Arial" w:hAnsi="Arial" w:cs="Arial"/>
          <w:sz w:val="22"/>
          <w:szCs w:val="22"/>
          <w:vertAlign w:val="subscript"/>
        </w:rPr>
        <w:t>1c</w:t>
      </w:r>
      <w:r w:rsidR="00B61DC2" w:rsidRPr="00BD132D">
        <w:rPr>
          <w:rFonts w:ascii="Arial" w:hAnsi="Arial" w:cs="Arial"/>
          <w:sz w:val="22"/>
          <w:szCs w:val="22"/>
        </w:rPr>
        <w:t>)</w:t>
      </w:r>
      <w:r w:rsidRPr="00BD132D">
        <w:rPr>
          <w:rFonts w:ascii="Arial" w:hAnsi="Arial" w:cs="Arial"/>
          <w:sz w:val="22"/>
          <w:szCs w:val="22"/>
        </w:rPr>
        <w:t xml:space="preserve"> </w:t>
      </w:r>
      <w:r w:rsidRPr="00BD132D">
        <w:rPr>
          <w:rFonts w:ascii="Arial" w:hAnsi="Arial" w:cs="Arial"/>
          <w:color w:val="1F1F1F"/>
          <w:sz w:val="22"/>
          <w:szCs w:val="22"/>
          <w:shd w:val="clear" w:color="auto" w:fill="FFFFFF"/>
        </w:rPr>
        <w:t>≥</w:t>
      </w:r>
      <w:r w:rsidRPr="00BD132D">
        <w:rPr>
          <w:rFonts w:ascii="Arial" w:hAnsi="Arial" w:cs="Arial"/>
          <w:sz w:val="22"/>
          <w:szCs w:val="22"/>
        </w:rPr>
        <w:t>6.5%</w:t>
      </w:r>
      <w:r w:rsidR="003C080B" w:rsidRPr="00BD132D">
        <w:rPr>
          <w:rFonts w:ascii="Arial" w:hAnsi="Arial" w:cs="Arial"/>
          <w:sz w:val="22"/>
          <w:szCs w:val="22"/>
        </w:rPr>
        <w:t xml:space="preserve"> and hypoglycaemia was defined as a BGL &lt;3.90cmmol/L</w:t>
      </w:r>
      <w:r w:rsidR="00B61DC2" w:rsidRPr="00BD132D">
        <w:rPr>
          <w:rFonts w:ascii="Arial" w:hAnsi="Arial" w:cs="Arial"/>
          <w:sz w:val="22"/>
          <w:szCs w:val="22"/>
        </w:rPr>
        <w:t>.</w:t>
      </w:r>
    </w:p>
    <w:p w14:paraId="65B7CE01" w14:textId="77777777" w:rsidR="00B61DC2" w:rsidRPr="00BD132D" w:rsidRDefault="00B61DC2" w:rsidP="004056D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D132D">
        <w:rPr>
          <w:rFonts w:ascii="Arial" w:hAnsi="Arial" w:cs="Arial"/>
          <w:b/>
          <w:bCs/>
          <w:i/>
          <w:iCs/>
          <w:sz w:val="22"/>
          <w:szCs w:val="22"/>
        </w:rPr>
        <w:t>Results</w:t>
      </w:r>
    </w:p>
    <w:p w14:paraId="5766F2AD" w14:textId="55C7D405" w:rsidR="00B61DC2" w:rsidRPr="00BD132D" w:rsidRDefault="00B61DC2" w:rsidP="004056D9">
      <w:pPr>
        <w:rPr>
          <w:rFonts w:ascii="Arial" w:hAnsi="Arial" w:cs="Arial"/>
          <w:sz w:val="22"/>
          <w:szCs w:val="22"/>
        </w:rPr>
      </w:pPr>
      <w:r w:rsidRPr="00BD132D">
        <w:rPr>
          <w:rFonts w:ascii="Arial" w:hAnsi="Arial" w:cs="Arial"/>
          <w:sz w:val="22"/>
          <w:szCs w:val="22"/>
        </w:rPr>
        <w:t>The analysis included 9132 patients and 296,941 blood glucose values.</w:t>
      </w:r>
      <w:r w:rsidR="00D05163" w:rsidRPr="00BD132D">
        <w:rPr>
          <w:rFonts w:ascii="Arial" w:hAnsi="Arial" w:cs="Arial"/>
          <w:sz w:val="22"/>
          <w:szCs w:val="22"/>
        </w:rPr>
        <w:t xml:space="preserve"> Both t</w:t>
      </w:r>
      <w:r w:rsidRPr="00BD132D">
        <w:rPr>
          <w:rFonts w:ascii="Arial" w:hAnsi="Arial" w:cs="Arial"/>
          <w:sz w:val="22"/>
          <w:szCs w:val="22"/>
        </w:rPr>
        <w:t>he mean, cumulative dose of hyperglycaemia and coefficient of variation of blood glucose level increased (</w:t>
      </w:r>
      <w:r w:rsidRPr="00BD132D">
        <w:rPr>
          <w:rFonts w:ascii="Arial" w:hAnsi="Arial" w:cs="Arial"/>
          <w:i/>
          <w:iCs/>
          <w:sz w:val="22"/>
          <w:szCs w:val="22"/>
        </w:rPr>
        <w:t>P</w:t>
      </w:r>
      <w:r w:rsidRPr="00BD132D">
        <w:rPr>
          <w:rFonts w:ascii="Arial" w:hAnsi="Arial" w:cs="Arial"/>
          <w:sz w:val="22"/>
          <w:szCs w:val="22"/>
        </w:rPr>
        <w:t>&lt;0.001) with greater pre-operative HbA</w:t>
      </w:r>
      <w:r w:rsidRPr="00BD132D">
        <w:rPr>
          <w:rFonts w:ascii="Arial" w:hAnsi="Arial" w:cs="Arial"/>
          <w:sz w:val="22"/>
          <w:szCs w:val="22"/>
          <w:vertAlign w:val="subscript"/>
        </w:rPr>
        <w:t>1c</w:t>
      </w:r>
      <w:r w:rsidRPr="00BD132D">
        <w:rPr>
          <w:rFonts w:ascii="Arial" w:hAnsi="Arial" w:cs="Arial"/>
          <w:sz w:val="22"/>
          <w:szCs w:val="22"/>
        </w:rPr>
        <w:t xml:space="preserve">. Acute hyperglycaemia was strongly associated with mortality (OR 5.88, 95% CI, 3.03 to 10.6), </w:t>
      </w:r>
      <w:r w:rsidR="003C080B" w:rsidRPr="00BD132D">
        <w:rPr>
          <w:rFonts w:ascii="Arial" w:hAnsi="Arial" w:cs="Arial"/>
          <w:sz w:val="22"/>
          <w:szCs w:val="22"/>
        </w:rPr>
        <w:t>and</w:t>
      </w:r>
      <w:r w:rsidRPr="00BD132D">
        <w:rPr>
          <w:rFonts w:ascii="Arial" w:hAnsi="Arial" w:cs="Arial"/>
          <w:sz w:val="22"/>
          <w:szCs w:val="22"/>
        </w:rPr>
        <w:t xml:space="preserve"> this effect was diminished by chronic hyperglycaemia (HbA</w:t>
      </w:r>
      <w:r w:rsidRPr="00BD132D">
        <w:rPr>
          <w:rFonts w:ascii="Arial" w:hAnsi="Arial" w:cs="Arial"/>
          <w:sz w:val="22"/>
          <w:szCs w:val="22"/>
          <w:vertAlign w:val="subscript"/>
        </w:rPr>
        <w:t>1c</w:t>
      </w:r>
      <w:r w:rsidRPr="00BD132D" w:rsidDel="002E18BD">
        <w:rPr>
          <w:rFonts w:ascii="Arial" w:hAnsi="Arial" w:cs="Arial"/>
          <w:sz w:val="22"/>
          <w:szCs w:val="22"/>
        </w:rPr>
        <w:t xml:space="preserve"> </w:t>
      </w:r>
      <w:r w:rsidRPr="00BD132D">
        <w:rPr>
          <w:rFonts w:ascii="Arial" w:hAnsi="Arial" w:cs="Arial"/>
          <w:color w:val="1F1F1F"/>
          <w:sz w:val="22"/>
          <w:szCs w:val="22"/>
          <w:shd w:val="clear" w:color="auto" w:fill="FFFFFF"/>
        </w:rPr>
        <w:t>≥</w:t>
      </w:r>
      <w:r w:rsidRPr="00BD132D">
        <w:rPr>
          <w:rFonts w:ascii="Arial" w:hAnsi="Arial" w:cs="Arial"/>
          <w:sz w:val="22"/>
          <w:szCs w:val="22"/>
        </w:rPr>
        <w:t xml:space="preserve">6.5%). </w:t>
      </w:r>
      <w:r w:rsidR="00D05163" w:rsidRPr="00BD132D">
        <w:rPr>
          <w:rFonts w:ascii="Arial" w:hAnsi="Arial" w:cs="Arial"/>
          <w:sz w:val="22"/>
          <w:szCs w:val="22"/>
        </w:rPr>
        <w:t>M</w:t>
      </w:r>
      <w:r w:rsidRPr="00BD132D">
        <w:rPr>
          <w:rFonts w:ascii="Arial" w:hAnsi="Arial" w:cs="Arial"/>
          <w:sz w:val="22"/>
          <w:szCs w:val="22"/>
        </w:rPr>
        <w:t>ore frequent hypoglycaemic</w:t>
      </w:r>
      <w:r w:rsidR="00D05163" w:rsidRPr="00BD132D">
        <w:rPr>
          <w:rFonts w:ascii="Arial" w:hAnsi="Arial" w:cs="Arial"/>
          <w:sz w:val="22"/>
          <w:szCs w:val="22"/>
        </w:rPr>
        <w:t xml:space="preserve"> </w:t>
      </w:r>
      <w:r w:rsidRPr="00BD132D">
        <w:rPr>
          <w:rFonts w:ascii="Arial" w:hAnsi="Arial" w:cs="Arial"/>
          <w:sz w:val="22"/>
          <w:szCs w:val="22"/>
        </w:rPr>
        <w:t>events were strongly associated with mortality irrespective of premorbid glycaemic control.</w:t>
      </w:r>
    </w:p>
    <w:p w14:paraId="73F57F7F" w14:textId="77777777" w:rsidR="00D05163" w:rsidRPr="00BD132D" w:rsidRDefault="00D05163" w:rsidP="004056D9">
      <w:pPr>
        <w:rPr>
          <w:rFonts w:ascii="Arial" w:hAnsi="Arial" w:cs="Arial"/>
          <w:sz w:val="22"/>
          <w:szCs w:val="22"/>
        </w:rPr>
      </w:pPr>
    </w:p>
    <w:p w14:paraId="5D5D96B6" w14:textId="228F712D" w:rsidR="00D05163" w:rsidRPr="00BD132D" w:rsidRDefault="00D05163" w:rsidP="004056D9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Figure 1. Marginal model predictions (with 95% confidence bands) for in-hospital death for pre-defined chronic glycaemia sub-groups: well controlled (HbA</w:t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  <w:vertAlign w:val="subscript"/>
        </w:rPr>
        <w:t>1c</w:t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 </w:t>
      </w:r>
      <w:bookmarkStart w:id="0" w:name="OLE_LINK1"/>
      <w:bookmarkStart w:id="1" w:name="OLE_LINK2"/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&lt;6.5%), adequately controlled (HbA</w:t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  <w:vertAlign w:val="subscript"/>
        </w:rPr>
        <w:t>1c</w:t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 6.5% - 7.9%), and poorly controlled (HbA</w:t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  <w:vertAlign w:val="subscript"/>
        </w:rPr>
        <w:t>1c</w:t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 ≥ 8.0%</w:t>
      </w:r>
      <w:bookmarkEnd w:id="0"/>
      <w:bookmarkEnd w:id="1"/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), for</w:t>
      </w:r>
    </w:p>
    <w:p w14:paraId="64AEFBCE" w14:textId="6DE6E4E5" w:rsidR="00D05163" w:rsidRPr="00BD132D" w:rsidRDefault="00D05163" w:rsidP="004056D9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A) Cumulative dose hyperglycaemia, B) Number of Hypoglycaemic events</w:t>
      </w:r>
    </w:p>
    <w:p w14:paraId="27FF0BA4" w14:textId="4A5E75D5" w:rsidR="00D05163" w:rsidRPr="00BD132D" w:rsidRDefault="00D05163" w:rsidP="004056D9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A.  Cumulative dose hyperglycaemia</w:t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ab/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ab/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ab/>
      </w:r>
      <w:r w:rsidR="003C080B"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B. Number of Hypoglycaemic events</w:t>
      </w:r>
    </w:p>
    <w:p w14:paraId="385946AD" w14:textId="247B3094" w:rsidR="00D05163" w:rsidRPr="00BD132D" w:rsidRDefault="00D05163" w:rsidP="004056D9">
      <w:pPr>
        <w:rPr>
          <w:rFonts w:ascii="Arial" w:hAnsi="Arial" w:cs="Arial"/>
          <w:noProof/>
          <w:sz w:val="22"/>
          <w:szCs w:val="22"/>
        </w:rPr>
      </w:pPr>
      <w:r w:rsidRPr="00BD132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57BFF6" wp14:editId="4E7DD755">
            <wp:extent cx="2897312" cy="1573823"/>
            <wp:effectExtent l="0" t="0" r="0" b="1270"/>
            <wp:docPr id="1847775742" name="Picture 1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75742" name="Picture 1" descr="A graph with a red 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56" cy="170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132D">
        <w:rPr>
          <w:rFonts w:ascii="Arial" w:hAnsi="Arial" w:cs="Arial"/>
          <w:noProof/>
          <w:sz w:val="22"/>
          <w:szCs w:val="22"/>
        </w:rPr>
        <w:t xml:space="preserve"> </w:t>
      </w:r>
      <w:r w:rsidR="003C080B" w:rsidRPr="00BD132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036121" wp14:editId="2666A46B">
            <wp:extent cx="2781073" cy="1512277"/>
            <wp:effectExtent l="0" t="0" r="635" b="0"/>
            <wp:docPr id="1551254630" name="Picture 1" descr="A graph of a number of hypocrisy ev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54630" name="Picture 1" descr="A graph of a number of hypocrisy ev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8996" cy="160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0AB04" w14:textId="4002ACCC" w:rsidR="00D05163" w:rsidRPr="00BD132D" w:rsidRDefault="00D05163" w:rsidP="004056D9">
      <w:pPr>
        <w:rPr>
          <w:rFonts w:ascii="Arial" w:hAnsi="Arial" w:cs="Arial"/>
          <w:b/>
          <w:bCs/>
          <w:sz w:val="22"/>
          <w:szCs w:val="22"/>
        </w:rPr>
      </w:pP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ab/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ab/>
      </w:r>
      <w:r w:rsidRPr="00BD132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ab/>
      </w:r>
    </w:p>
    <w:p w14:paraId="2378A96C" w14:textId="77777777" w:rsidR="00B61DC2" w:rsidRPr="00BD132D" w:rsidRDefault="00B61DC2" w:rsidP="004056D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D132D">
        <w:rPr>
          <w:rFonts w:ascii="Arial" w:hAnsi="Arial" w:cs="Arial"/>
          <w:b/>
          <w:bCs/>
          <w:i/>
          <w:iCs/>
          <w:sz w:val="22"/>
          <w:szCs w:val="22"/>
        </w:rPr>
        <w:t>Conclusions</w:t>
      </w:r>
    </w:p>
    <w:p w14:paraId="67084E27" w14:textId="7E9E25A6" w:rsidR="00B61DC2" w:rsidRPr="00BD132D" w:rsidRDefault="00B61DC2" w:rsidP="004056D9">
      <w:pPr>
        <w:rPr>
          <w:rFonts w:ascii="Arial" w:hAnsi="Arial" w:cs="Arial"/>
          <w:sz w:val="22"/>
          <w:szCs w:val="22"/>
        </w:rPr>
      </w:pPr>
      <w:r w:rsidRPr="00BD132D">
        <w:rPr>
          <w:rFonts w:ascii="Arial" w:hAnsi="Arial" w:cs="Arial"/>
          <w:sz w:val="22"/>
          <w:szCs w:val="22"/>
        </w:rPr>
        <w:t xml:space="preserve">Chronic hyperglycaemia attenuates the </w:t>
      </w:r>
      <w:r w:rsidR="00D05163" w:rsidRPr="00BD132D">
        <w:rPr>
          <w:rFonts w:ascii="Arial" w:hAnsi="Arial" w:cs="Arial"/>
          <w:sz w:val="22"/>
          <w:szCs w:val="22"/>
        </w:rPr>
        <w:t>adverse impact of</w:t>
      </w:r>
      <w:r w:rsidRPr="00BD132D">
        <w:rPr>
          <w:rFonts w:ascii="Arial" w:hAnsi="Arial" w:cs="Arial"/>
          <w:sz w:val="22"/>
          <w:szCs w:val="22"/>
        </w:rPr>
        <w:t xml:space="preserve"> acute hyperglycaemia</w:t>
      </w:r>
      <w:r w:rsidR="003C080B" w:rsidRPr="00BD132D">
        <w:rPr>
          <w:rFonts w:ascii="Arial" w:hAnsi="Arial" w:cs="Arial"/>
          <w:sz w:val="22"/>
          <w:szCs w:val="22"/>
        </w:rPr>
        <w:t>,</w:t>
      </w:r>
      <w:r w:rsidRPr="00BD132D">
        <w:rPr>
          <w:rFonts w:ascii="Arial" w:hAnsi="Arial" w:cs="Arial"/>
          <w:sz w:val="22"/>
          <w:szCs w:val="22"/>
        </w:rPr>
        <w:t xml:space="preserve"> </w:t>
      </w:r>
      <w:r w:rsidR="003C080B" w:rsidRPr="00BD132D">
        <w:rPr>
          <w:rFonts w:ascii="Arial" w:hAnsi="Arial" w:cs="Arial"/>
          <w:sz w:val="22"/>
          <w:szCs w:val="22"/>
        </w:rPr>
        <w:t xml:space="preserve">but not hypoglycaemia, </w:t>
      </w:r>
      <w:r w:rsidR="00D05163" w:rsidRPr="00BD132D">
        <w:rPr>
          <w:rFonts w:ascii="Arial" w:hAnsi="Arial" w:cs="Arial"/>
          <w:sz w:val="22"/>
          <w:szCs w:val="22"/>
        </w:rPr>
        <w:t>on</w:t>
      </w:r>
      <w:r w:rsidRPr="00BD132D">
        <w:rPr>
          <w:rFonts w:ascii="Arial" w:hAnsi="Arial" w:cs="Arial"/>
          <w:sz w:val="22"/>
          <w:szCs w:val="22"/>
        </w:rPr>
        <w:t xml:space="preserve"> mortality in the cardiac surgical </w:t>
      </w:r>
      <w:r w:rsidR="00D05163" w:rsidRPr="00BD132D">
        <w:rPr>
          <w:rFonts w:ascii="Arial" w:hAnsi="Arial" w:cs="Arial"/>
          <w:sz w:val="22"/>
          <w:szCs w:val="22"/>
        </w:rPr>
        <w:t>population</w:t>
      </w:r>
      <w:r w:rsidRPr="00BD132D">
        <w:rPr>
          <w:rFonts w:ascii="Arial" w:hAnsi="Arial" w:cs="Arial"/>
          <w:sz w:val="22"/>
          <w:szCs w:val="22"/>
        </w:rPr>
        <w:t>.</w:t>
      </w:r>
      <w:r w:rsidR="00D05163" w:rsidRPr="00BD132D">
        <w:rPr>
          <w:rFonts w:ascii="Arial" w:hAnsi="Arial" w:cs="Arial"/>
          <w:sz w:val="22"/>
          <w:szCs w:val="22"/>
        </w:rPr>
        <w:t xml:space="preserve"> </w:t>
      </w:r>
      <w:r w:rsidR="003C080B" w:rsidRPr="00BD132D">
        <w:rPr>
          <w:rFonts w:ascii="Arial" w:hAnsi="Arial" w:cs="Arial"/>
          <w:sz w:val="22"/>
          <w:szCs w:val="22"/>
        </w:rPr>
        <w:t>Accordingly, there</w:t>
      </w:r>
      <w:r w:rsidR="00D05163" w:rsidRPr="00BD132D">
        <w:rPr>
          <w:rFonts w:ascii="Arial" w:hAnsi="Arial" w:cs="Arial"/>
          <w:sz w:val="22"/>
          <w:szCs w:val="22"/>
        </w:rPr>
        <w:t xml:space="preserve"> are potential benefits </w:t>
      </w:r>
      <w:r w:rsidR="003C080B" w:rsidRPr="00BD132D">
        <w:rPr>
          <w:rFonts w:ascii="Arial" w:hAnsi="Arial" w:cs="Arial"/>
          <w:sz w:val="22"/>
          <w:szCs w:val="22"/>
        </w:rPr>
        <w:t>in</w:t>
      </w:r>
      <w:r w:rsidR="00D05163" w:rsidRPr="00BD132D">
        <w:rPr>
          <w:rFonts w:ascii="Arial" w:hAnsi="Arial" w:cs="Arial"/>
          <w:sz w:val="22"/>
          <w:szCs w:val="22"/>
        </w:rPr>
        <w:t xml:space="preserve"> relaxing glycaemic targets pre-operatively and in the peri-operative period.</w:t>
      </w:r>
    </w:p>
    <w:p w14:paraId="3D27CDF4" w14:textId="07299C7D" w:rsidR="003C080B" w:rsidRPr="00BD132D" w:rsidRDefault="003C080B" w:rsidP="004056D9">
      <w:pPr>
        <w:rPr>
          <w:rFonts w:ascii="Arial" w:hAnsi="Arial" w:cs="Arial"/>
          <w:b/>
          <w:bCs/>
          <w:sz w:val="22"/>
          <w:szCs w:val="22"/>
        </w:rPr>
      </w:pPr>
    </w:p>
    <w:p w14:paraId="6D772ED6" w14:textId="77777777" w:rsidR="003F3E75" w:rsidRPr="00BD132D" w:rsidRDefault="003F3E75" w:rsidP="004056D9">
      <w:pPr>
        <w:rPr>
          <w:rFonts w:ascii="Arial" w:hAnsi="Arial" w:cs="Arial"/>
          <w:sz w:val="22"/>
          <w:szCs w:val="22"/>
        </w:rPr>
      </w:pPr>
    </w:p>
    <w:sectPr w:rsidR="003F3E75" w:rsidRPr="00BD1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C2"/>
    <w:rsid w:val="00013D2D"/>
    <w:rsid w:val="00087370"/>
    <w:rsid w:val="0009494F"/>
    <w:rsid w:val="0014140E"/>
    <w:rsid w:val="001E780A"/>
    <w:rsid w:val="00206249"/>
    <w:rsid w:val="002D009F"/>
    <w:rsid w:val="00314500"/>
    <w:rsid w:val="00350664"/>
    <w:rsid w:val="003C080B"/>
    <w:rsid w:val="003D5657"/>
    <w:rsid w:val="003F3E75"/>
    <w:rsid w:val="004056D9"/>
    <w:rsid w:val="0045701C"/>
    <w:rsid w:val="005D0284"/>
    <w:rsid w:val="00716BFD"/>
    <w:rsid w:val="008775CC"/>
    <w:rsid w:val="00975E21"/>
    <w:rsid w:val="00A22724"/>
    <w:rsid w:val="00A61F5B"/>
    <w:rsid w:val="00A743F7"/>
    <w:rsid w:val="00B61DC2"/>
    <w:rsid w:val="00BA4356"/>
    <w:rsid w:val="00BD132D"/>
    <w:rsid w:val="00C70F14"/>
    <w:rsid w:val="00D05163"/>
    <w:rsid w:val="00D13EBA"/>
    <w:rsid w:val="00E970EE"/>
    <w:rsid w:val="00EE578E"/>
    <w:rsid w:val="00F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FF93"/>
  <w15:chartTrackingRefBased/>
  <w15:docId w15:val="{3513E006-D27C-4241-9AD0-0B24385A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C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D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D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D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D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D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D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D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D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DC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1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DC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1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FCAE9-29D5-47DA-80FA-7AE0E866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E02B0-0139-4860-8632-C1C1F67D9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81840-290E-4CFE-8190-1E52550D61F0}">
  <ds:schemaRefs>
    <ds:schemaRef ds:uri="http://purl.org/dc/terms/"/>
    <ds:schemaRef ds:uri="http://schemas.openxmlformats.org/package/2006/metadata/core-properties"/>
    <ds:schemaRef ds:uri="9c8a2b7b-0bee-4c48-b0a6-23db8982d3bc"/>
    <ds:schemaRef ds:uri="cab52c9b-ab33-4221-8af9-54f8f2b86a80"/>
    <ds:schemaRef ds:uri="http://schemas.microsoft.com/office/infopath/2007/PartnerControls"/>
    <ds:schemaRef ds:uri="http://www.w3.org/XML/1998/namespace"/>
    <ds:schemaRef ds:uri="6911e96c-4cc4-42d5-8e43-f93924cf6a0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Nadkarni, Aniket (Health)</dc:creator>
  <cp:keywords/>
  <dc:description/>
  <cp:lastModifiedBy>Tanya Yandall</cp:lastModifiedBy>
  <cp:revision>3</cp:revision>
  <dcterms:created xsi:type="dcterms:W3CDTF">2025-05-23T06:16:00Z</dcterms:created>
  <dcterms:modified xsi:type="dcterms:W3CDTF">2025-05-23T06:17:00Z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