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01F0" w14:textId="77777777" w:rsidR="00972A5B" w:rsidRDefault="00972A5B" w:rsidP="00972A5B">
      <w:pPr>
        <w:spacing w:line="276" w:lineRule="auto"/>
        <w:jc w:val="both"/>
        <w:rPr>
          <w:rFonts w:ascii="Arial" w:hAnsi="Arial" w:cs="Arial"/>
          <w:b/>
          <w:bCs/>
        </w:rPr>
      </w:pPr>
    </w:p>
    <w:p w14:paraId="62034163" w14:textId="77777777" w:rsidR="00972A5B" w:rsidRDefault="00972A5B" w:rsidP="00972A5B">
      <w:pPr>
        <w:spacing w:line="276" w:lineRule="auto"/>
        <w:jc w:val="both"/>
        <w:rPr>
          <w:rFonts w:ascii="Arial" w:hAnsi="Arial" w:cs="Arial"/>
          <w:b/>
          <w:bCs/>
        </w:rPr>
      </w:pPr>
    </w:p>
    <w:p w14:paraId="487BE5A9" w14:textId="41D34B79" w:rsidR="00972A5B" w:rsidRDefault="00C81461" w:rsidP="00972A5B">
      <w:pPr>
        <w:spacing w:line="276" w:lineRule="auto"/>
        <w:jc w:val="both"/>
        <w:rPr>
          <w:rFonts w:ascii="Arial" w:hAnsi="Arial" w:cs="Arial"/>
          <w:b/>
          <w:bCs/>
        </w:rPr>
      </w:pPr>
      <w:r w:rsidRPr="00C650A1">
        <w:rPr>
          <w:rFonts w:ascii="Arial" w:hAnsi="Arial" w:cs="Arial"/>
          <w:b/>
          <w:bCs/>
        </w:rPr>
        <w:t>C</w:t>
      </w:r>
      <w:r w:rsidR="00972A5B">
        <w:rPr>
          <w:rFonts w:ascii="Arial" w:hAnsi="Arial" w:cs="Arial"/>
          <w:b/>
          <w:bCs/>
        </w:rPr>
        <w:t>haracterising the role of Hypothalamic TRIM28 in central glucose regulation.</w:t>
      </w:r>
    </w:p>
    <w:p w14:paraId="21FDC454" w14:textId="08A54CB1" w:rsidR="00972A5B" w:rsidRPr="00843BE8" w:rsidRDefault="00972A5B" w:rsidP="00972A5B">
      <w:pPr>
        <w:spacing w:line="276" w:lineRule="auto"/>
        <w:jc w:val="both"/>
        <w:rPr>
          <w:rFonts w:ascii="Arial" w:hAnsi="Arial" w:cs="Arial"/>
          <w:b/>
          <w:bCs/>
        </w:rPr>
      </w:pPr>
      <w:r w:rsidRPr="00843BE8">
        <w:rPr>
          <w:rFonts w:ascii="Arial" w:hAnsi="Arial" w:cs="Arial"/>
          <w:b/>
          <w:bCs/>
        </w:rPr>
        <w:t xml:space="preserve"> </w:t>
      </w:r>
    </w:p>
    <w:p w14:paraId="7B455504" w14:textId="521DBCE1" w:rsidR="002B424B" w:rsidRDefault="002B424B" w:rsidP="002B424B">
      <w:pPr>
        <w:spacing w:line="276" w:lineRule="auto"/>
        <w:jc w:val="both"/>
        <w:rPr>
          <w:rFonts w:ascii="Arial" w:hAnsi="Arial" w:cs="Arial"/>
        </w:rPr>
      </w:pPr>
      <w:r w:rsidRPr="00843BE8">
        <w:rPr>
          <w:rFonts w:ascii="Arial" w:hAnsi="Arial" w:cs="Arial"/>
          <w:b/>
          <w:bCs/>
        </w:rPr>
        <w:t>Aim</w:t>
      </w:r>
      <w:r>
        <w:rPr>
          <w:rFonts w:ascii="Arial" w:hAnsi="Arial" w:cs="Arial"/>
          <w:b/>
          <w:bCs/>
        </w:rPr>
        <w:t>/s</w:t>
      </w:r>
      <w:r w:rsidRPr="00843BE8">
        <w:rPr>
          <w:rFonts w:ascii="Arial" w:hAnsi="Arial" w:cs="Arial"/>
        </w:rPr>
        <w:br/>
        <w:t xml:space="preserve">Type 2 diabetes is a leading global cause of disease-related </w:t>
      </w:r>
      <w:r>
        <w:rPr>
          <w:rFonts w:ascii="Arial" w:hAnsi="Arial" w:cs="Arial"/>
        </w:rPr>
        <w:t>mortality</w:t>
      </w:r>
      <w:r w:rsidRPr="00843BE8">
        <w:rPr>
          <w:rFonts w:ascii="Arial" w:hAnsi="Arial" w:cs="Arial"/>
        </w:rPr>
        <w:t xml:space="preserve">. The brain, particularly the hypothalamus, plays a </w:t>
      </w:r>
      <w:r>
        <w:rPr>
          <w:rFonts w:ascii="Arial" w:hAnsi="Arial" w:cs="Arial"/>
        </w:rPr>
        <w:t>critical</w:t>
      </w:r>
      <w:r w:rsidRPr="00843BE8">
        <w:rPr>
          <w:rFonts w:ascii="Arial" w:hAnsi="Arial" w:cs="Arial"/>
        </w:rPr>
        <w:t xml:space="preserve"> role in</w:t>
      </w:r>
      <w:r>
        <w:rPr>
          <w:rFonts w:ascii="Arial" w:hAnsi="Arial" w:cs="Arial"/>
        </w:rPr>
        <w:t xml:space="preserve"> regulating</w:t>
      </w:r>
      <w:r w:rsidRPr="00843BE8">
        <w:rPr>
          <w:rFonts w:ascii="Arial" w:hAnsi="Arial" w:cs="Arial"/>
        </w:rPr>
        <w:t xml:space="preserve"> glucose homeostasis, with genetic factors strongly influencing this regulation. One </w:t>
      </w:r>
      <w:r>
        <w:rPr>
          <w:rFonts w:ascii="Arial" w:hAnsi="Arial" w:cs="Arial"/>
        </w:rPr>
        <w:t>such gene</w:t>
      </w:r>
      <w:r w:rsidRPr="00843BE8">
        <w:rPr>
          <w:rFonts w:ascii="Arial" w:hAnsi="Arial" w:cs="Arial"/>
        </w:rPr>
        <w:t xml:space="preserve"> is Tripartite motif containing-28 (Trim28), which encodes an epigenetic co-repressor previously linked to obesity and glucose metabolism. Despite TRIM28’s</w:t>
      </w:r>
      <w:r w:rsidRPr="00843BE8">
        <w:rPr>
          <w:rFonts w:ascii="Arial" w:hAnsi="Arial" w:cs="Arial"/>
          <w:i/>
          <w:iCs/>
        </w:rPr>
        <w:t xml:space="preserve"> </w:t>
      </w:r>
      <w:r w:rsidRPr="00843BE8">
        <w:rPr>
          <w:rFonts w:ascii="Arial" w:hAnsi="Arial" w:cs="Arial"/>
        </w:rPr>
        <w:t xml:space="preserve">high hypothalamic expression, its central glucoregulatory role remains </w:t>
      </w:r>
      <w:r>
        <w:rPr>
          <w:rFonts w:ascii="Arial" w:hAnsi="Arial" w:cs="Arial"/>
        </w:rPr>
        <w:t>unclear. Therefore, t</w:t>
      </w:r>
      <w:r w:rsidRPr="00843BE8">
        <w:rPr>
          <w:rFonts w:ascii="Arial" w:hAnsi="Arial" w:cs="Arial"/>
        </w:rPr>
        <w:t xml:space="preserve">his study </w:t>
      </w:r>
      <w:r>
        <w:rPr>
          <w:rFonts w:ascii="Arial" w:hAnsi="Arial" w:cs="Arial"/>
        </w:rPr>
        <w:t>aims to investigate</w:t>
      </w:r>
      <w:r w:rsidRPr="00843BE8">
        <w:rPr>
          <w:rFonts w:ascii="Arial" w:hAnsi="Arial" w:cs="Arial"/>
        </w:rPr>
        <w:t xml:space="preserve"> the role of hypothalamic TRIM28 in central glucose </w:t>
      </w:r>
      <w:r>
        <w:rPr>
          <w:rFonts w:ascii="Arial" w:hAnsi="Arial" w:cs="Arial"/>
        </w:rPr>
        <w:t>homeostasis</w:t>
      </w:r>
      <w:r w:rsidRPr="00843BE8">
        <w:rPr>
          <w:rFonts w:ascii="Arial" w:hAnsi="Arial" w:cs="Arial"/>
        </w:rPr>
        <w:t>.</w:t>
      </w:r>
    </w:p>
    <w:p w14:paraId="2DDB7D81" w14:textId="77777777" w:rsidR="002B424B" w:rsidRPr="00843BE8" w:rsidRDefault="002B424B" w:rsidP="002B424B">
      <w:pPr>
        <w:spacing w:line="276" w:lineRule="auto"/>
        <w:jc w:val="both"/>
        <w:rPr>
          <w:rFonts w:ascii="Arial" w:hAnsi="Arial" w:cs="Arial"/>
        </w:rPr>
      </w:pPr>
    </w:p>
    <w:p w14:paraId="586A8BDD" w14:textId="77777777" w:rsidR="002B424B" w:rsidRDefault="002B424B" w:rsidP="002B424B">
      <w:pPr>
        <w:spacing w:line="276" w:lineRule="auto"/>
        <w:jc w:val="both"/>
        <w:rPr>
          <w:rFonts w:ascii="Arial" w:hAnsi="Arial" w:cs="Arial"/>
        </w:rPr>
      </w:pPr>
      <w:r w:rsidRPr="00843BE8">
        <w:rPr>
          <w:rFonts w:ascii="Arial" w:hAnsi="Arial" w:cs="Arial"/>
          <w:b/>
          <w:bCs/>
        </w:rPr>
        <w:t>Method</w:t>
      </w:r>
      <w:r>
        <w:rPr>
          <w:rFonts w:ascii="Arial" w:hAnsi="Arial" w:cs="Arial"/>
          <w:b/>
          <w:bCs/>
        </w:rPr>
        <w:t>s</w:t>
      </w:r>
      <w:r w:rsidRPr="00843BE8">
        <w:rPr>
          <w:rFonts w:ascii="Arial" w:hAnsi="Arial" w:cs="Arial"/>
          <w:b/>
          <w:bCs/>
        </w:rPr>
        <w:br/>
      </w:r>
      <w:r w:rsidRPr="00843BE8">
        <w:rPr>
          <w:rFonts w:ascii="Arial" w:hAnsi="Arial" w:cs="Arial"/>
        </w:rPr>
        <w:t xml:space="preserve">To </w:t>
      </w:r>
      <w:r>
        <w:rPr>
          <w:rFonts w:ascii="Arial" w:hAnsi="Arial" w:cs="Arial"/>
        </w:rPr>
        <w:t>characterise the</w:t>
      </w:r>
      <w:r w:rsidRPr="00843BE8">
        <w:rPr>
          <w:rFonts w:ascii="Arial" w:hAnsi="Arial" w:cs="Arial"/>
        </w:rPr>
        <w:t xml:space="preserve"> </w:t>
      </w:r>
      <w:r>
        <w:rPr>
          <w:rFonts w:ascii="Arial" w:hAnsi="Arial" w:cs="Arial"/>
        </w:rPr>
        <w:t xml:space="preserve">central glucoregulatory role of TRIM28, </w:t>
      </w:r>
      <w:r w:rsidRPr="00843BE8">
        <w:rPr>
          <w:rFonts w:ascii="Arial" w:hAnsi="Arial" w:cs="Arial"/>
        </w:rPr>
        <w:t xml:space="preserve">we utilised a murine model in which </w:t>
      </w:r>
      <w:r w:rsidRPr="00843BE8">
        <w:rPr>
          <w:rFonts w:ascii="Arial" w:hAnsi="Arial" w:cs="Arial"/>
          <w:i/>
          <w:iCs/>
        </w:rPr>
        <w:t xml:space="preserve">Trim28 </w:t>
      </w:r>
      <w:r w:rsidRPr="00843BE8">
        <w:rPr>
          <w:rFonts w:ascii="Arial" w:hAnsi="Arial" w:cs="Arial"/>
        </w:rPr>
        <w:t>was selectively deleted from leptin receptor-expressing neurons, a neuronal population critical for glucose</w:t>
      </w:r>
      <w:r>
        <w:rPr>
          <w:rFonts w:ascii="Arial" w:hAnsi="Arial" w:cs="Arial"/>
        </w:rPr>
        <w:t xml:space="preserve"> regulation</w:t>
      </w:r>
      <w:r w:rsidRPr="00843BE8">
        <w:rPr>
          <w:rFonts w:ascii="Arial" w:hAnsi="Arial" w:cs="Arial"/>
        </w:rPr>
        <w:t>. Knockout mice were compared with wildtype control littermates</w:t>
      </w:r>
      <w:r>
        <w:rPr>
          <w:rFonts w:ascii="Arial" w:hAnsi="Arial" w:cs="Arial"/>
        </w:rPr>
        <w:t>. G</w:t>
      </w:r>
      <w:r w:rsidRPr="00843BE8">
        <w:rPr>
          <w:rFonts w:ascii="Arial" w:hAnsi="Arial" w:cs="Arial"/>
        </w:rPr>
        <w:t xml:space="preserve">lycaemic control was assessed using glucose </w:t>
      </w:r>
      <w:r>
        <w:rPr>
          <w:rFonts w:ascii="Arial" w:hAnsi="Arial" w:cs="Arial"/>
        </w:rPr>
        <w:t xml:space="preserve">and </w:t>
      </w:r>
      <w:r w:rsidRPr="00843BE8">
        <w:rPr>
          <w:rFonts w:ascii="Arial" w:hAnsi="Arial" w:cs="Arial"/>
        </w:rPr>
        <w:t>insulin tolerance tests</w:t>
      </w:r>
      <w:r>
        <w:rPr>
          <w:rFonts w:ascii="Arial" w:hAnsi="Arial" w:cs="Arial"/>
        </w:rPr>
        <w:t>, alongside m</w:t>
      </w:r>
      <w:r w:rsidRPr="00843BE8">
        <w:rPr>
          <w:rFonts w:ascii="Arial" w:eastAsiaTheme="minorEastAsia" w:hAnsi="Arial" w:cs="Arial"/>
          <w:lang w:eastAsia="zh-CN"/>
        </w:rPr>
        <w:t xml:space="preserve">etabolic </w:t>
      </w:r>
      <w:r>
        <w:rPr>
          <w:rFonts w:ascii="Arial" w:eastAsiaTheme="minorEastAsia" w:hAnsi="Arial" w:cs="Arial"/>
          <w:lang w:eastAsia="zh-CN"/>
        </w:rPr>
        <w:t xml:space="preserve">phenotyping </w:t>
      </w:r>
      <w:r w:rsidRPr="00843BE8">
        <w:rPr>
          <w:rFonts w:ascii="Arial" w:eastAsiaTheme="minorEastAsia" w:hAnsi="Arial" w:cs="Arial"/>
          <w:lang w:eastAsia="zh-CN"/>
        </w:rPr>
        <w:t xml:space="preserve">including body </w:t>
      </w:r>
      <w:r w:rsidRPr="00843BE8">
        <w:rPr>
          <w:rFonts w:ascii="Arial" w:hAnsi="Arial" w:cs="Arial"/>
        </w:rPr>
        <w:t>weight, body composition, and food intake.</w:t>
      </w:r>
      <w:r w:rsidRPr="00843BE8">
        <w:rPr>
          <w:rFonts w:ascii="Arial" w:hAnsi="Arial" w:cs="Arial"/>
        </w:rPr>
        <w:br/>
      </w:r>
      <w:r w:rsidRPr="00843BE8">
        <w:rPr>
          <w:rFonts w:ascii="Arial" w:hAnsi="Arial" w:cs="Arial"/>
          <w:b/>
          <w:bCs/>
        </w:rPr>
        <w:br/>
        <w:t>Results</w:t>
      </w:r>
      <w:r w:rsidRPr="00843BE8">
        <w:rPr>
          <w:rFonts w:ascii="Arial" w:hAnsi="Arial" w:cs="Arial"/>
        </w:rPr>
        <w:t xml:space="preserve"> </w:t>
      </w:r>
      <w:r w:rsidRPr="00843BE8">
        <w:rPr>
          <w:rFonts w:ascii="Arial" w:hAnsi="Arial" w:cs="Arial"/>
        </w:rPr>
        <w:br/>
        <w:t xml:space="preserve">We demonstrated that </w:t>
      </w:r>
      <w:r w:rsidRPr="00843BE8">
        <w:rPr>
          <w:rFonts w:ascii="Arial" w:hAnsi="Arial" w:cs="Arial"/>
          <w:i/>
          <w:iCs/>
        </w:rPr>
        <w:t>Trim28</w:t>
      </w:r>
      <w:r w:rsidRPr="00843BE8">
        <w:rPr>
          <w:rFonts w:ascii="Arial" w:hAnsi="Arial" w:cs="Arial"/>
        </w:rPr>
        <w:t xml:space="preserve"> deletion improved central glucose regulation. </w:t>
      </w:r>
      <w:r w:rsidRPr="00843BE8">
        <w:rPr>
          <w:rFonts w:ascii="Arial" w:hAnsi="Arial" w:cs="Arial"/>
          <w:i/>
          <w:iCs/>
        </w:rPr>
        <w:t xml:space="preserve">Trim28 </w:t>
      </w:r>
      <w:r w:rsidRPr="00843BE8">
        <w:rPr>
          <w:rFonts w:ascii="Arial" w:hAnsi="Arial" w:cs="Arial"/>
        </w:rPr>
        <w:t>knockout mice exhibited better glycaemic control compared with sex- and diet-matched wildtype littermates, without differences in body weight or composition. Male knockouts showed better insulin sensitivity under high fat diet, whereas female knockouts demonstrated more pronounced metabolic improvements, with enhanced glucose tolerance and insulin sensitivity on both diets.</w:t>
      </w:r>
    </w:p>
    <w:p w14:paraId="0A847A80" w14:textId="77777777" w:rsidR="002B424B" w:rsidRPr="00843BE8" w:rsidRDefault="002B424B" w:rsidP="002B424B">
      <w:pPr>
        <w:spacing w:line="276" w:lineRule="auto"/>
        <w:jc w:val="both"/>
        <w:rPr>
          <w:rFonts w:ascii="Arial" w:hAnsi="Arial" w:cs="Arial"/>
        </w:rPr>
      </w:pPr>
      <w:r w:rsidRPr="00843BE8">
        <w:rPr>
          <w:rFonts w:ascii="Arial" w:hAnsi="Arial" w:cs="Arial"/>
        </w:rPr>
        <w:br/>
      </w:r>
      <w:r>
        <w:rPr>
          <w:rFonts w:ascii="Arial" w:hAnsi="Arial" w:cs="Arial"/>
        </w:rPr>
        <w:t>Furthermore, h</w:t>
      </w:r>
      <w:r w:rsidRPr="00843BE8">
        <w:rPr>
          <w:rFonts w:ascii="Arial" w:hAnsi="Arial" w:cs="Arial"/>
        </w:rPr>
        <w:t>ypothalamic bulk RNA sequencing identified Peptidoglycan-recognition protein 1 (</w:t>
      </w:r>
      <w:r w:rsidRPr="00843BE8">
        <w:rPr>
          <w:rFonts w:ascii="Arial" w:hAnsi="Arial" w:cs="Arial"/>
          <w:i/>
          <w:iCs/>
        </w:rPr>
        <w:t>Pglyrp1</w:t>
      </w:r>
      <w:r w:rsidRPr="00843BE8">
        <w:rPr>
          <w:rFonts w:ascii="Arial" w:hAnsi="Arial" w:cs="Arial"/>
        </w:rPr>
        <w:t xml:space="preserve">), a gene encoding an innate immune protein, as significantly downregulated in </w:t>
      </w:r>
      <w:r w:rsidRPr="00843BE8">
        <w:rPr>
          <w:rFonts w:ascii="Arial" w:hAnsi="Arial" w:cs="Arial"/>
          <w:i/>
          <w:iCs/>
        </w:rPr>
        <w:t>Trim28</w:t>
      </w:r>
      <w:r w:rsidRPr="00843BE8">
        <w:rPr>
          <w:rFonts w:ascii="Arial" w:hAnsi="Arial" w:cs="Arial"/>
        </w:rPr>
        <w:t xml:space="preserve"> knockout mice, which was validated by qPCR. Given evidence linking PGLYRP1 </w:t>
      </w:r>
      <w:r>
        <w:rPr>
          <w:rFonts w:ascii="Arial" w:hAnsi="Arial" w:cs="Arial"/>
        </w:rPr>
        <w:t>to</w:t>
      </w:r>
      <w:r w:rsidRPr="00843BE8">
        <w:rPr>
          <w:rFonts w:ascii="Arial" w:hAnsi="Arial" w:cs="Arial"/>
        </w:rPr>
        <w:t xml:space="preserve"> microglia</w:t>
      </w:r>
      <w:r>
        <w:rPr>
          <w:rFonts w:ascii="Arial" w:hAnsi="Arial" w:cs="Arial"/>
        </w:rPr>
        <w:t>-mediated</w:t>
      </w:r>
      <w:r w:rsidRPr="00843BE8">
        <w:rPr>
          <w:rFonts w:ascii="Arial" w:hAnsi="Arial" w:cs="Arial"/>
        </w:rPr>
        <w:t xml:space="preserve"> neuroinflammation, and the established </w:t>
      </w:r>
      <w:r>
        <w:rPr>
          <w:rFonts w:ascii="Arial" w:hAnsi="Arial" w:cs="Arial"/>
        </w:rPr>
        <w:t>associated</w:t>
      </w:r>
      <w:r w:rsidRPr="00843BE8">
        <w:rPr>
          <w:rFonts w:ascii="Arial" w:hAnsi="Arial" w:cs="Arial"/>
        </w:rPr>
        <w:t xml:space="preserve"> </w:t>
      </w:r>
      <w:r>
        <w:rPr>
          <w:rFonts w:ascii="Arial" w:hAnsi="Arial" w:cs="Arial"/>
        </w:rPr>
        <w:t>between</w:t>
      </w:r>
      <w:r w:rsidRPr="00843BE8">
        <w:rPr>
          <w:rFonts w:ascii="Arial" w:hAnsi="Arial" w:cs="Arial"/>
        </w:rPr>
        <w:t xml:space="preserve"> hypothalamic inflammation </w:t>
      </w:r>
      <w:r>
        <w:rPr>
          <w:rFonts w:ascii="Arial" w:hAnsi="Arial" w:cs="Arial"/>
        </w:rPr>
        <w:t>and</w:t>
      </w:r>
      <w:r w:rsidRPr="00843BE8">
        <w:rPr>
          <w:rFonts w:ascii="Arial" w:hAnsi="Arial" w:cs="Arial"/>
        </w:rPr>
        <w:t xml:space="preserve"> metabolic dysregulation, we further </w:t>
      </w:r>
      <w:r>
        <w:rPr>
          <w:rFonts w:ascii="Arial" w:hAnsi="Arial" w:cs="Arial"/>
        </w:rPr>
        <w:t>examined</w:t>
      </w:r>
      <w:r w:rsidRPr="00843BE8">
        <w:rPr>
          <w:rFonts w:ascii="Arial" w:hAnsi="Arial" w:cs="Arial"/>
        </w:rPr>
        <w:t xml:space="preserve"> hypothalamic inflammation. Indeed, female </w:t>
      </w:r>
      <w:r w:rsidRPr="00843BE8">
        <w:rPr>
          <w:rFonts w:ascii="Arial" w:hAnsi="Arial" w:cs="Arial"/>
          <w:i/>
          <w:iCs/>
        </w:rPr>
        <w:t>Trim28</w:t>
      </w:r>
      <w:r w:rsidRPr="00843BE8">
        <w:rPr>
          <w:rFonts w:ascii="Arial" w:hAnsi="Arial" w:cs="Arial"/>
        </w:rPr>
        <w:t xml:space="preserve">-knockout mice exhibited lower hypothalamic microglia count, as assessed by immunofluorescence staining, indicating attenuated neuroinflammation. </w:t>
      </w:r>
    </w:p>
    <w:p w14:paraId="175C327B" w14:textId="77777777" w:rsidR="002B424B" w:rsidRPr="00843BE8" w:rsidRDefault="002B424B" w:rsidP="002B424B">
      <w:pPr>
        <w:spacing w:line="276" w:lineRule="auto"/>
        <w:jc w:val="both"/>
        <w:rPr>
          <w:rFonts w:ascii="Arial" w:hAnsi="Arial" w:cs="Arial"/>
        </w:rPr>
      </w:pPr>
      <w:r w:rsidRPr="00843BE8">
        <w:rPr>
          <w:rFonts w:ascii="Arial" w:hAnsi="Arial" w:cs="Arial"/>
          <w:b/>
          <w:bCs/>
        </w:rPr>
        <w:br/>
        <w:t>Conclusion</w:t>
      </w:r>
      <w:r w:rsidRPr="00843BE8">
        <w:rPr>
          <w:rFonts w:ascii="Arial" w:hAnsi="Arial" w:cs="Arial"/>
        </w:rPr>
        <w:br/>
        <w:t xml:space="preserve">We propose that neuroinflammation mediated by the </w:t>
      </w:r>
      <w:r w:rsidRPr="00843BE8">
        <w:rPr>
          <w:rFonts w:ascii="Arial" w:hAnsi="Arial" w:cs="Arial"/>
          <w:i/>
          <w:iCs/>
        </w:rPr>
        <w:t>Trim28-Pglyrp1</w:t>
      </w:r>
      <w:r w:rsidRPr="00843BE8">
        <w:rPr>
          <w:rFonts w:ascii="Arial" w:hAnsi="Arial" w:cs="Arial"/>
        </w:rPr>
        <w:t xml:space="preserve"> pathway in the hypothalamus drives metabolic dysfunction. Thus, deleting </w:t>
      </w:r>
      <w:r w:rsidRPr="00843BE8">
        <w:rPr>
          <w:rFonts w:ascii="Arial" w:hAnsi="Arial" w:cs="Arial"/>
          <w:i/>
          <w:iCs/>
        </w:rPr>
        <w:t>Trim28</w:t>
      </w:r>
      <w:r w:rsidRPr="00843BE8">
        <w:rPr>
          <w:rFonts w:ascii="Arial" w:hAnsi="Arial" w:cs="Arial"/>
        </w:rPr>
        <w:t xml:space="preserve"> ameliorated this hypothalamic inflammation, contributing to better glycaemic outcomes observed in </w:t>
      </w:r>
      <w:r w:rsidRPr="00843BE8">
        <w:rPr>
          <w:rFonts w:ascii="Arial" w:hAnsi="Arial" w:cs="Arial"/>
          <w:i/>
          <w:iCs/>
        </w:rPr>
        <w:t>Trim28</w:t>
      </w:r>
      <w:r w:rsidRPr="00843BE8">
        <w:rPr>
          <w:rFonts w:ascii="Arial" w:hAnsi="Arial" w:cs="Arial"/>
        </w:rPr>
        <w:t xml:space="preserve"> knockout mice. </w:t>
      </w:r>
    </w:p>
    <w:p w14:paraId="47095214" w14:textId="77777777" w:rsidR="002B424B" w:rsidRPr="00843BE8" w:rsidRDefault="002B424B" w:rsidP="002B424B">
      <w:pPr>
        <w:spacing w:line="276" w:lineRule="auto"/>
        <w:jc w:val="both"/>
        <w:rPr>
          <w:rFonts w:ascii="Arial" w:hAnsi="Arial" w:cs="Arial"/>
        </w:rPr>
      </w:pPr>
    </w:p>
    <w:p w14:paraId="5DDEF25E" w14:textId="77777777" w:rsidR="00B41940" w:rsidRDefault="00B41940"/>
    <w:sectPr w:rsidR="00B41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A0C"/>
    <w:multiLevelType w:val="hybridMultilevel"/>
    <w:tmpl w:val="498C06B2"/>
    <w:lvl w:ilvl="0" w:tplc="85688516">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8862806">
    <w:abstractNumId w:val="0"/>
  </w:num>
  <w:num w:numId="2" w16cid:durableId="21320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B"/>
    <w:rsid w:val="00154497"/>
    <w:rsid w:val="002B424B"/>
    <w:rsid w:val="00381491"/>
    <w:rsid w:val="004828EF"/>
    <w:rsid w:val="00577D14"/>
    <w:rsid w:val="006E3250"/>
    <w:rsid w:val="00787A81"/>
    <w:rsid w:val="00972A5B"/>
    <w:rsid w:val="009B22E1"/>
    <w:rsid w:val="00B41940"/>
    <w:rsid w:val="00C06047"/>
    <w:rsid w:val="00C814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EE89"/>
  <w15:chartTrackingRefBased/>
  <w15:docId w15:val="{1ABF0C18-AA35-413E-9DA2-5F30EC88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4B"/>
    <w:pPr>
      <w:spacing w:after="0" w:line="240" w:lineRule="auto"/>
    </w:pPr>
    <w:rPr>
      <w:rFonts w:ascii="Atlas Grotesk Regular" w:eastAsiaTheme="minorHAnsi" w:hAnsi="Atlas Grotesk Regular"/>
      <w:kern w:val="0"/>
      <w:lang w:val="en-NZ"/>
      <w14:ligatures w14:val="none"/>
    </w:rPr>
  </w:style>
  <w:style w:type="paragraph" w:styleId="Heading1">
    <w:name w:val="heading 1"/>
    <w:basedOn w:val="Normal"/>
    <w:next w:val="Normal"/>
    <w:link w:val="Heading1Char"/>
    <w:uiPriority w:val="9"/>
    <w:qFormat/>
    <w:rsid w:val="006E3250"/>
    <w:pPr>
      <w:keepNext/>
      <w:keepLines/>
      <w:numPr>
        <w:numId w:val="2"/>
      </w:numPr>
      <w:spacing w:before="400" w:after="120" w:line="276" w:lineRule="auto"/>
      <w:outlineLvl w:val="0"/>
    </w:pPr>
    <w:rPr>
      <w:rFonts w:ascii="Arial" w:eastAsia="Arial" w:hAnsi="Arial" w:cs="Arial"/>
      <w:b/>
      <w:sz w:val="28"/>
      <w:szCs w:val="40"/>
      <w:lang w:val="en-AU"/>
    </w:rPr>
  </w:style>
  <w:style w:type="paragraph" w:styleId="Heading2">
    <w:name w:val="heading 2"/>
    <w:basedOn w:val="Normal"/>
    <w:next w:val="Normal"/>
    <w:link w:val="Heading2Char"/>
    <w:uiPriority w:val="9"/>
    <w:unhideWhenUsed/>
    <w:qFormat/>
    <w:rsid w:val="006E3250"/>
    <w:pPr>
      <w:keepNext/>
      <w:keepLines/>
      <w:spacing w:before="360" w:after="120" w:line="276" w:lineRule="auto"/>
      <w:outlineLvl w:val="1"/>
    </w:pPr>
    <w:rPr>
      <w:rFonts w:ascii="Arial" w:eastAsia="Arial" w:hAnsi="Arial" w:cs="Arial"/>
      <w:b/>
      <w:sz w:val="24"/>
      <w:szCs w:val="32"/>
      <w:lang w:val="en-AU"/>
    </w:rPr>
  </w:style>
  <w:style w:type="paragraph" w:styleId="Heading3">
    <w:name w:val="heading 3"/>
    <w:basedOn w:val="Normal"/>
    <w:next w:val="Normal"/>
    <w:link w:val="Heading3Char"/>
    <w:uiPriority w:val="9"/>
    <w:semiHidden/>
    <w:unhideWhenUsed/>
    <w:qFormat/>
    <w:rsid w:val="002B424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2B424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2B424B"/>
    <w:pPr>
      <w:keepNext/>
      <w:keepLines/>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2B424B"/>
    <w:pPr>
      <w:keepNext/>
      <w:keepLines/>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2B424B"/>
    <w:pPr>
      <w:keepNext/>
      <w:keepLines/>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2B424B"/>
    <w:pPr>
      <w:keepNext/>
      <w:keepLines/>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2B424B"/>
    <w:pPr>
      <w:keepNext/>
      <w:keepLines/>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50"/>
    <w:rPr>
      <w:rFonts w:ascii="Arial" w:eastAsia="Arial" w:hAnsi="Arial" w:cs="Arial"/>
      <w:b/>
      <w:kern w:val="0"/>
      <w:sz w:val="28"/>
      <w:szCs w:val="40"/>
      <w:lang w:val="en-GB"/>
      <w14:ligatures w14:val="none"/>
    </w:rPr>
  </w:style>
  <w:style w:type="character" w:customStyle="1" w:styleId="Heading2Char">
    <w:name w:val="Heading 2 Char"/>
    <w:basedOn w:val="DefaultParagraphFont"/>
    <w:link w:val="Heading2"/>
    <w:uiPriority w:val="9"/>
    <w:rsid w:val="006E3250"/>
    <w:rPr>
      <w:rFonts w:ascii="Arial" w:eastAsia="Arial" w:hAnsi="Arial" w:cs="Arial"/>
      <w:b/>
      <w:kern w:val="0"/>
      <w:sz w:val="24"/>
      <w:szCs w:val="32"/>
      <w:lang w:val="en-GB"/>
      <w14:ligatures w14:val="none"/>
    </w:rPr>
  </w:style>
  <w:style w:type="character" w:customStyle="1" w:styleId="Heading3Char">
    <w:name w:val="Heading 3 Char"/>
    <w:basedOn w:val="DefaultParagraphFont"/>
    <w:link w:val="Heading3"/>
    <w:uiPriority w:val="9"/>
    <w:semiHidden/>
    <w:rsid w:val="002B4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24B"/>
    <w:rPr>
      <w:rFonts w:eastAsiaTheme="majorEastAsia" w:cstheme="majorBidi"/>
      <w:color w:val="272727" w:themeColor="text1" w:themeTint="D8"/>
    </w:rPr>
  </w:style>
  <w:style w:type="paragraph" w:styleId="Title">
    <w:name w:val="Title"/>
    <w:basedOn w:val="Normal"/>
    <w:next w:val="Normal"/>
    <w:link w:val="TitleChar"/>
    <w:uiPriority w:val="10"/>
    <w:qFormat/>
    <w:rsid w:val="002B424B"/>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2B4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2B4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24B"/>
    <w:pPr>
      <w:spacing w:before="160" w:after="160" w:line="259" w:lineRule="auto"/>
      <w:jc w:val="center"/>
    </w:pPr>
    <w:rPr>
      <w:rFonts w:asciiTheme="minorHAnsi" w:eastAsiaTheme="minorEastAsia" w:hAnsiTheme="minorHAns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2B424B"/>
    <w:rPr>
      <w:i/>
      <w:iCs/>
      <w:color w:val="404040" w:themeColor="text1" w:themeTint="BF"/>
    </w:rPr>
  </w:style>
  <w:style w:type="paragraph" w:styleId="ListParagraph">
    <w:name w:val="List Paragraph"/>
    <w:basedOn w:val="Normal"/>
    <w:uiPriority w:val="34"/>
    <w:qFormat/>
    <w:rsid w:val="002B424B"/>
    <w:pPr>
      <w:spacing w:after="160" w:line="259" w:lineRule="auto"/>
      <w:ind w:left="720"/>
      <w:contextualSpacing/>
    </w:pPr>
    <w:rPr>
      <w:rFonts w:asciiTheme="minorHAnsi" w:eastAsiaTheme="minorEastAsia" w:hAnsiTheme="minorHAnsi"/>
      <w:kern w:val="2"/>
      <w:lang w:val="en-AU"/>
      <w14:ligatures w14:val="standardContextual"/>
    </w:rPr>
  </w:style>
  <w:style w:type="character" w:styleId="IntenseEmphasis">
    <w:name w:val="Intense Emphasis"/>
    <w:basedOn w:val="DefaultParagraphFont"/>
    <w:uiPriority w:val="21"/>
    <w:qFormat/>
    <w:rsid w:val="002B424B"/>
    <w:rPr>
      <w:i/>
      <w:iCs/>
      <w:color w:val="0F4761" w:themeColor="accent1" w:themeShade="BF"/>
    </w:rPr>
  </w:style>
  <w:style w:type="paragraph" w:styleId="IntenseQuote">
    <w:name w:val="Intense Quote"/>
    <w:basedOn w:val="Normal"/>
    <w:next w:val="Normal"/>
    <w:link w:val="IntenseQuoteChar"/>
    <w:uiPriority w:val="30"/>
    <w:qFormat/>
    <w:rsid w:val="002B42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2B424B"/>
    <w:rPr>
      <w:i/>
      <w:iCs/>
      <w:color w:val="0F4761" w:themeColor="accent1" w:themeShade="BF"/>
    </w:rPr>
  </w:style>
  <w:style w:type="character" w:styleId="IntenseReference">
    <w:name w:val="Intense Reference"/>
    <w:basedOn w:val="DefaultParagraphFont"/>
    <w:uiPriority w:val="32"/>
    <w:qFormat/>
    <w:rsid w:val="002B42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AF004-183D-48AC-91DD-7D34FC89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ACE3F-A614-4D60-B7C6-8EB4A8DCB052}">
  <ds:schemaRefs>
    <ds:schemaRef ds:uri="http://schemas.microsoft.com/sharepoint/v3/contenttype/forms"/>
  </ds:schemaRefs>
</ds:datastoreItem>
</file>

<file path=customXml/itemProps3.xml><?xml version="1.0" encoding="utf-8"?>
<ds:datastoreItem xmlns:ds="http://schemas.openxmlformats.org/officeDocument/2006/customXml" ds:itemID="{8FD81021-D8BA-4547-A4A9-7BA724DC2DB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2183</Characters>
  <Application>Microsoft Office Word</Application>
  <DocSecurity>0</DocSecurity>
  <Lines>41</Lines>
  <Paragraphs>5</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Xin Fach</dc:creator>
  <cp:keywords/>
  <dc:description/>
  <cp:lastModifiedBy>Tanya Yandall</cp:lastModifiedBy>
  <cp:revision>2</cp:revision>
  <dcterms:created xsi:type="dcterms:W3CDTF">2026-02-16T21:06:00Z</dcterms:created>
  <dcterms:modified xsi:type="dcterms:W3CDTF">2026-02-16T21:06:00Z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