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DB21" w14:textId="29B044A2" w:rsidR="007F7710" w:rsidRPr="007F7710" w:rsidRDefault="007F7710" w:rsidP="007F7710">
      <w:pPr>
        <w:tabs>
          <w:tab w:val="left" w:pos="2802"/>
        </w:tabs>
        <w:spacing w:before="120" w:after="120"/>
        <w:rPr>
          <w:rFonts w:ascii="Arial" w:hAnsi="Arial" w:cs="Arial"/>
          <w:b/>
          <w:bCs/>
        </w:rPr>
      </w:pPr>
      <w:r w:rsidRPr="007F7710">
        <w:rPr>
          <w:rFonts w:ascii="Arial" w:eastAsiaTheme="minorEastAsia" w:hAnsi="Arial"/>
          <w:b/>
          <w:bCs/>
        </w:rPr>
        <w:t>The association between personality, self-regulation of eating behaviours and diet in adults with type 2 diabetes</w:t>
      </w:r>
    </w:p>
    <w:p w14:paraId="79B559D2" w14:textId="77777777" w:rsidR="007F7710" w:rsidRDefault="007F7710" w:rsidP="007F7710">
      <w:pPr>
        <w:spacing w:before="120" w:after="120"/>
        <w:rPr>
          <w:rFonts w:ascii="Arial" w:hAnsi="Arial" w:cs="Arial"/>
          <w:b/>
          <w:bCs/>
        </w:rPr>
      </w:pPr>
    </w:p>
    <w:p w14:paraId="1491C512" w14:textId="51D8800D" w:rsidR="007F7710" w:rsidRPr="007F7710" w:rsidRDefault="007F7710" w:rsidP="007F7710">
      <w:pPr>
        <w:spacing w:before="120" w:after="120"/>
        <w:rPr>
          <w:rFonts w:ascii="Arial" w:hAnsi="Arial" w:cs="Arial"/>
          <w:b/>
          <w:bCs/>
        </w:rPr>
      </w:pPr>
      <w:r w:rsidRPr="007F7710">
        <w:rPr>
          <w:rFonts w:ascii="Arial" w:hAnsi="Arial" w:cs="Arial"/>
          <w:b/>
          <w:bCs/>
        </w:rPr>
        <w:t>Background &amp; Aim</w:t>
      </w:r>
    </w:p>
    <w:p w14:paraId="3741F644" w14:textId="1FB3DAAA" w:rsidR="007F7710" w:rsidRPr="007F7710" w:rsidRDefault="007F7710" w:rsidP="007F7710">
      <w:pPr>
        <w:tabs>
          <w:tab w:val="left" w:pos="2802"/>
        </w:tabs>
        <w:spacing w:before="120" w:after="120"/>
        <w:rPr>
          <w:rFonts w:ascii="Arial" w:eastAsia="Aptos" w:hAnsi="Arial" w:cs="Arial"/>
        </w:rPr>
      </w:pPr>
      <w:r w:rsidRPr="007F7710">
        <w:rPr>
          <w:rFonts w:ascii="Arial" w:eastAsia="Aptos" w:hAnsi="Arial" w:cs="Arial"/>
        </w:rPr>
        <w:t xml:space="preserve">Eating intentions can be overridden by the demands of family/social/work life and the influences they have on our emotional states, including emotional eating. Self-regulating and maintaining intentions can be demanding but is an important factor in healthy eating. Living with type 2 diabetes (T2D) can amplify these demands through the experience of diabetes distress and self-efficacy levels. Personality traits may be proximal to a person’s ability to self-regulate and consume a healthy diet. This study aimed to examine the associations between personality, psychological factors, self-regulation and diet, among adults with T2D. </w:t>
      </w:r>
    </w:p>
    <w:p w14:paraId="7891676A" w14:textId="77777777" w:rsidR="007F7710" w:rsidRPr="007F7710" w:rsidRDefault="007F7710" w:rsidP="007F7710">
      <w:pPr>
        <w:spacing w:before="120" w:after="120"/>
        <w:rPr>
          <w:rFonts w:ascii="Arial" w:hAnsi="Arial" w:cs="Arial"/>
          <w:b/>
          <w:bCs/>
        </w:rPr>
      </w:pPr>
      <w:r w:rsidRPr="007F7710">
        <w:rPr>
          <w:rFonts w:ascii="Arial" w:hAnsi="Arial" w:cs="Arial"/>
          <w:b/>
          <w:bCs/>
        </w:rPr>
        <w:t>Methods</w:t>
      </w:r>
    </w:p>
    <w:p w14:paraId="7D39501B" w14:textId="3D43CB18" w:rsidR="007F7710" w:rsidRPr="007F7710" w:rsidRDefault="007F7710" w:rsidP="007F7710">
      <w:pPr>
        <w:tabs>
          <w:tab w:val="left" w:pos="2802"/>
        </w:tabs>
        <w:spacing w:before="120" w:after="120"/>
        <w:rPr>
          <w:rFonts w:ascii="Arial" w:eastAsia="Aptos" w:hAnsi="Arial" w:cs="Arial"/>
        </w:rPr>
      </w:pPr>
      <w:r w:rsidRPr="007F7710">
        <w:rPr>
          <w:rFonts w:ascii="Arial" w:eastAsia="Aptos" w:hAnsi="Arial" w:cs="Arial"/>
        </w:rPr>
        <w:t xml:space="preserve">Australian adults with T2D (N=270; 56% women; age: 61±12 years) were recruited via the national diabetes registry. An online survey included measures </w:t>
      </w:r>
      <w:proofErr w:type="gramStart"/>
      <w:r w:rsidRPr="007F7710">
        <w:rPr>
          <w:rFonts w:ascii="Arial" w:eastAsia="Aptos" w:hAnsi="Arial" w:cs="Arial"/>
        </w:rPr>
        <w:t>of:</w:t>
      </w:r>
      <w:proofErr w:type="gramEnd"/>
      <w:r w:rsidRPr="007F7710">
        <w:rPr>
          <w:rFonts w:ascii="Arial" w:eastAsia="Aptos" w:hAnsi="Arial" w:cs="Arial"/>
        </w:rPr>
        <w:t xml:space="preserve"> dietary intake (UKDDQ), self-regulation of eating behaviours (SREBQ), personality (HEXACO-PI-R), diabetes distress (DDS) and diabetes self-efficacy (DMSES). Analyses included bivariate correlations and linear regression, adjusted for demographic and clinical variables, personality and psychological variables. </w:t>
      </w:r>
    </w:p>
    <w:p w14:paraId="1AC30CBA" w14:textId="77777777" w:rsidR="007F7710" w:rsidRPr="007F7710" w:rsidRDefault="007F7710" w:rsidP="007F7710">
      <w:pPr>
        <w:spacing w:before="120" w:after="120"/>
        <w:rPr>
          <w:rFonts w:ascii="Arial" w:hAnsi="Arial" w:cs="Arial"/>
          <w:b/>
          <w:bCs/>
        </w:rPr>
      </w:pPr>
      <w:r w:rsidRPr="007F7710">
        <w:rPr>
          <w:rFonts w:ascii="Arial" w:hAnsi="Arial" w:cs="Arial"/>
          <w:b/>
          <w:bCs/>
        </w:rPr>
        <w:t xml:space="preserve">Results </w:t>
      </w:r>
    </w:p>
    <w:p w14:paraId="47CC0B38" w14:textId="6CD330A8" w:rsidR="007F7710" w:rsidRPr="007F7710" w:rsidRDefault="007F7710" w:rsidP="007F7710">
      <w:pPr>
        <w:tabs>
          <w:tab w:val="left" w:pos="2802"/>
        </w:tabs>
        <w:spacing w:before="120" w:after="120"/>
        <w:rPr>
          <w:rFonts w:ascii="Arial" w:eastAsia="Aptos" w:hAnsi="Arial" w:cs="Arial"/>
        </w:rPr>
      </w:pPr>
      <w:r w:rsidRPr="007F7710">
        <w:rPr>
          <w:rFonts w:ascii="Arial" w:eastAsia="Aptos" w:hAnsi="Arial" w:cs="Arial"/>
        </w:rPr>
        <w:t>Healthy eating correlated most strongly with self-regulation (</w:t>
      </w:r>
      <w:r w:rsidRPr="007F7710">
        <w:rPr>
          <w:rFonts w:ascii="Arial" w:eastAsia="Aptos" w:hAnsi="Arial" w:cs="Arial"/>
          <w:i/>
          <w:iCs/>
        </w:rPr>
        <w:t>r</w:t>
      </w:r>
      <w:r w:rsidRPr="007F7710">
        <w:rPr>
          <w:rFonts w:ascii="Arial" w:eastAsia="Aptos" w:hAnsi="Arial" w:cs="Arial"/>
        </w:rPr>
        <w:t>=.43) and diabetes self-efficacy (</w:t>
      </w:r>
      <w:r w:rsidRPr="007F7710">
        <w:rPr>
          <w:rFonts w:ascii="Arial" w:eastAsia="Aptos" w:hAnsi="Arial" w:cs="Arial"/>
          <w:i/>
          <w:iCs/>
        </w:rPr>
        <w:t>r</w:t>
      </w:r>
      <w:r w:rsidRPr="007F7710">
        <w:rPr>
          <w:rFonts w:ascii="Arial" w:eastAsia="Aptos" w:hAnsi="Arial" w:cs="Arial"/>
        </w:rPr>
        <w:t>=.36), while self-regulation correlated most strongly with diabetes self-efficacy (r=.62) and diabetes distress (</w:t>
      </w:r>
      <w:r w:rsidRPr="007F7710">
        <w:rPr>
          <w:rFonts w:ascii="Arial" w:eastAsia="Aptos" w:hAnsi="Arial" w:cs="Arial"/>
          <w:i/>
          <w:iCs/>
        </w:rPr>
        <w:t>r</w:t>
      </w:r>
      <w:r w:rsidRPr="007F7710">
        <w:rPr>
          <w:rFonts w:ascii="Arial" w:eastAsia="Aptos" w:hAnsi="Arial" w:cs="Arial"/>
        </w:rPr>
        <w:t>=-.46). Of the personality traits, self-regulation correlated most strongly with extraversion (</w:t>
      </w:r>
      <w:r w:rsidRPr="007F7710">
        <w:rPr>
          <w:rFonts w:ascii="Arial" w:eastAsia="Aptos" w:hAnsi="Arial" w:cs="Arial"/>
          <w:i/>
          <w:iCs/>
        </w:rPr>
        <w:t>r</w:t>
      </w:r>
      <w:r w:rsidRPr="007F7710">
        <w:rPr>
          <w:rFonts w:ascii="Arial" w:eastAsia="Aptos" w:hAnsi="Arial" w:cs="Arial"/>
        </w:rPr>
        <w:t>=.33) and emotionality (</w:t>
      </w:r>
      <w:r w:rsidRPr="007F7710">
        <w:rPr>
          <w:rFonts w:ascii="Arial" w:eastAsia="Aptos" w:hAnsi="Arial" w:cs="Arial"/>
          <w:i/>
          <w:iCs/>
        </w:rPr>
        <w:t>r</w:t>
      </w:r>
      <w:r w:rsidRPr="007F7710">
        <w:rPr>
          <w:rFonts w:ascii="Arial" w:eastAsia="Aptos" w:hAnsi="Arial" w:cs="Arial"/>
        </w:rPr>
        <w:t>=-.31). In the regression analyses, controlling for covariates, the final model (self-regulation) explained 24% of the variance in diet quality (Adjusted R</w:t>
      </w:r>
      <w:r w:rsidRPr="007F7710">
        <w:rPr>
          <w:rFonts w:ascii="Arial" w:eastAsia="Aptos" w:hAnsi="Arial" w:cs="Arial"/>
          <w:vertAlign w:val="superscript"/>
        </w:rPr>
        <w:t>2</w:t>
      </w:r>
      <w:r w:rsidRPr="007F7710">
        <w:rPr>
          <w:rFonts w:ascii="Arial" w:eastAsia="Aptos" w:hAnsi="Arial" w:cs="Arial"/>
        </w:rPr>
        <w:t>=.24, R</w:t>
      </w:r>
      <w:r w:rsidRPr="007F7710">
        <w:rPr>
          <w:rFonts w:ascii="Arial" w:eastAsia="Aptos" w:hAnsi="Arial" w:cs="Arial"/>
          <w:vertAlign w:val="superscript"/>
        </w:rPr>
        <w:t xml:space="preserve">2 </w:t>
      </w:r>
      <w:r w:rsidRPr="007F7710">
        <w:rPr>
          <w:rFonts w:ascii="Arial" w:eastAsia="Aptos" w:hAnsi="Arial" w:cs="Arial"/>
        </w:rPr>
        <w:t xml:space="preserve">difference=.06, p=&lt;.001; self-regulation: β=.34, p=&lt;.001, honesty-humility: β=.20, p=&lt;.001, extraversion: β=.16, p=&lt;.05, age: β=.15, p=&lt;.05). </w:t>
      </w:r>
    </w:p>
    <w:p w14:paraId="79D74067" w14:textId="77777777" w:rsidR="007F7710" w:rsidRPr="007F7710" w:rsidRDefault="007F7710" w:rsidP="007F7710">
      <w:pPr>
        <w:spacing w:before="120" w:after="120"/>
        <w:rPr>
          <w:rFonts w:ascii="Arial" w:hAnsi="Arial" w:cs="Arial"/>
          <w:b/>
          <w:bCs/>
        </w:rPr>
      </w:pPr>
      <w:r w:rsidRPr="007F7710">
        <w:rPr>
          <w:rFonts w:ascii="Arial" w:hAnsi="Arial" w:cs="Arial"/>
          <w:b/>
          <w:bCs/>
        </w:rPr>
        <w:t>Discussion/Conclusion</w:t>
      </w:r>
    </w:p>
    <w:p w14:paraId="51CEA02F" w14:textId="7CFE8E2B" w:rsidR="007F7710" w:rsidRPr="007F7710" w:rsidRDefault="007F7710" w:rsidP="007F7710">
      <w:pPr>
        <w:tabs>
          <w:tab w:val="left" w:pos="2802"/>
        </w:tabs>
        <w:spacing w:before="120" w:after="120"/>
        <w:rPr>
          <w:rFonts w:ascii="Arial" w:eastAsia="Aptos" w:hAnsi="Arial" w:cs="Arial"/>
        </w:rPr>
      </w:pPr>
      <w:r w:rsidRPr="007F7710">
        <w:rPr>
          <w:rFonts w:ascii="Arial" w:eastAsia="Aptos" w:hAnsi="Arial" w:cs="Arial"/>
        </w:rPr>
        <w:t xml:space="preserve">Personality is cross-sectionally associated with eating behaviours through its relationship with self-regulation. This may offer a different lens when viewing personal intentions to consume a healthy diet. Certain personality traits may play a role in those who experience emotional eating together with the psychological processes associated with efforts to self-regulate eating behaviours. Further research is needed to examine these relationships prospectively and potential mediating factors. </w:t>
      </w:r>
    </w:p>
    <w:p w14:paraId="7EE41325" w14:textId="77777777" w:rsidR="007F7710" w:rsidRDefault="007F7710" w:rsidP="007F7710"/>
    <w:p w14:paraId="675D712A" w14:textId="77777777" w:rsidR="001C4412" w:rsidRPr="00297A3D" w:rsidRDefault="001C4412">
      <w:pPr>
        <w:rPr>
          <w:rFonts w:ascii="Arial" w:hAnsi="Arial" w:cs="Arial"/>
          <w:lang w:val="en-GB"/>
        </w:rPr>
      </w:pPr>
    </w:p>
    <w:p w14:paraId="6E976206" w14:textId="77777777" w:rsidR="001C4412" w:rsidRPr="00297A3D" w:rsidRDefault="001C4412">
      <w:pPr>
        <w:rPr>
          <w:rFonts w:ascii="Arial" w:hAnsi="Arial" w:cs="Arial"/>
          <w:b/>
          <w:bCs/>
          <w:lang w:val="en-GB"/>
        </w:rPr>
      </w:pPr>
    </w:p>
    <w:p w14:paraId="322F27A1" w14:textId="5BCC1616" w:rsidR="001C4412" w:rsidRPr="00297A3D" w:rsidRDefault="001C4412">
      <w:pPr>
        <w:rPr>
          <w:rFonts w:ascii="Arial" w:hAnsi="Arial" w:cs="Arial"/>
          <w:lang w:val="en-GB"/>
        </w:rPr>
      </w:pPr>
    </w:p>
    <w:sectPr w:rsidR="001C4412" w:rsidRPr="0029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1049FE"/>
    <w:rsid w:val="001B3A83"/>
    <w:rsid w:val="001C4412"/>
    <w:rsid w:val="00297A3D"/>
    <w:rsid w:val="005C6AA0"/>
    <w:rsid w:val="007F7710"/>
    <w:rsid w:val="007FC078"/>
    <w:rsid w:val="00A37AE7"/>
    <w:rsid w:val="00DA231D"/>
    <w:rsid w:val="00EB2E8D"/>
    <w:rsid w:val="00F96AC6"/>
    <w:rsid w:val="032C0D9C"/>
    <w:rsid w:val="042AA030"/>
    <w:rsid w:val="07CA1431"/>
    <w:rsid w:val="09FAC08C"/>
    <w:rsid w:val="0C81D72C"/>
    <w:rsid w:val="13169369"/>
    <w:rsid w:val="2B3DF703"/>
    <w:rsid w:val="397B32C7"/>
    <w:rsid w:val="4443AEBB"/>
    <w:rsid w:val="61D9EC10"/>
    <w:rsid w:val="6993FA4E"/>
    <w:rsid w:val="777EC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BD093-B476-4651-92E2-085A4BCA4E11}">
  <ds:schemaRefs>
    <ds:schemaRef ds:uri="http://purl.org/dc/elements/1.1/"/>
    <ds:schemaRef ds:uri="6911e96c-4cc4-42d5-8e43-f93924cf6a05"/>
    <ds:schemaRef ds:uri="http://purl.org/dc/terms/"/>
    <ds:schemaRef ds:uri="http://schemas.openxmlformats.org/package/2006/metadata/core-properties"/>
    <ds:schemaRef ds:uri="cab52c9b-ab33-4221-8af9-54f8f2b86a80"/>
    <ds:schemaRef ds:uri="9c8a2b7b-0bee-4c48-b0a6-23db8982d3b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BF9F9E-29A6-4D7E-B77E-060DE2679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Tanya Yandall</cp:lastModifiedBy>
  <cp:revision>3</cp:revision>
  <dcterms:created xsi:type="dcterms:W3CDTF">2025-05-21T00:01:00Z</dcterms:created>
  <dcterms:modified xsi:type="dcterms:W3CDTF">2025-05-21T00:02:00Z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