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EF8465" w14:textId="77777777" w:rsidR="00A834DB" w:rsidRDefault="00A834DB"/>
    <w:tbl>
      <w:tblPr>
        <w:tblStyle w:val="a"/>
        <w:tblW w:w="86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640"/>
      </w:tblGrid>
      <w:tr w:rsidR="00A834DB" w:rsidRPr="00BD30CD" w14:paraId="22EF846B" w14:textId="77777777">
        <w:tc>
          <w:tcPr>
            <w:tcW w:w="8640" w:type="dxa"/>
            <w:shd w:val="clear" w:color="auto" w:fill="F2F2F2"/>
          </w:tcPr>
          <w:p w14:paraId="22EF8467" w14:textId="25442FAC" w:rsidR="00A834DB" w:rsidRPr="00BD30CD" w:rsidRDefault="00BD30CD">
            <w:pPr>
              <w:jc w:val="both"/>
              <w:rPr>
                <w:rFonts w:ascii="Arial" w:eastAsia="Arial" w:hAnsi="Arial" w:cs="Arial"/>
                <w:bCs/>
                <w:i/>
                <w:iCs/>
                <w:sz w:val="22"/>
                <w:szCs w:val="22"/>
              </w:rPr>
            </w:pPr>
            <w:r w:rsidRPr="00BD30CD">
              <w:rPr>
                <w:rFonts w:ascii="Arial" w:eastAsia="Arial" w:hAnsi="Arial" w:cs="Arial"/>
                <w:bCs/>
                <w:i/>
                <w:iCs/>
                <w:sz w:val="22"/>
                <w:szCs w:val="22"/>
              </w:rPr>
              <w:t>Wānanga/Talanoa/Dialogue or Workshop</w:t>
            </w:r>
          </w:p>
          <w:p w14:paraId="22EF8468" w14:textId="77777777" w:rsidR="00A834DB" w:rsidRPr="00BD30CD" w:rsidRDefault="00BF660D">
            <w:pPr>
              <w:jc w:val="both"/>
              <w:rPr>
                <w:rFonts w:ascii="Arial" w:eastAsia="Arial" w:hAnsi="Arial" w:cs="Arial"/>
                <w:b/>
                <w:sz w:val="22"/>
                <w:szCs w:val="22"/>
              </w:rPr>
            </w:pPr>
            <w:r w:rsidRPr="00BD30CD">
              <w:rPr>
                <w:rFonts w:ascii="Arial" w:eastAsia="Arial" w:hAnsi="Arial" w:cs="Arial"/>
                <w:b/>
                <w:sz w:val="22"/>
                <w:szCs w:val="22"/>
              </w:rPr>
              <w:t>Taking matters into our own hands: How to build a venture for community-led climate adaptation on the Toha Network.</w:t>
            </w:r>
          </w:p>
          <w:p w14:paraId="22EF846A" w14:textId="77777777" w:rsidR="00A834DB" w:rsidRPr="00BD30CD" w:rsidRDefault="00A834DB">
            <w:pPr>
              <w:jc w:val="both"/>
              <w:rPr>
                <w:rFonts w:ascii="Arial" w:eastAsia="Arial" w:hAnsi="Arial" w:cs="Arial"/>
                <w:b/>
                <w:sz w:val="22"/>
                <w:szCs w:val="22"/>
              </w:rPr>
            </w:pPr>
          </w:p>
        </w:tc>
      </w:tr>
      <w:tr w:rsidR="00A834DB" w14:paraId="22EF847F" w14:textId="77777777">
        <w:trPr>
          <w:trHeight w:val="1511"/>
        </w:trPr>
        <w:tc>
          <w:tcPr>
            <w:tcW w:w="8640" w:type="dxa"/>
          </w:tcPr>
          <w:p w14:paraId="22EF846D" w14:textId="77777777" w:rsidR="00A834DB" w:rsidRDefault="00BF660D">
            <w:pPr>
              <w:rPr>
                <w:rFonts w:ascii="Arial" w:eastAsia="Arial" w:hAnsi="Arial" w:cs="Arial"/>
                <w:b/>
                <w:sz w:val="22"/>
                <w:szCs w:val="22"/>
              </w:rPr>
            </w:pPr>
            <w:r>
              <w:rPr>
                <w:rFonts w:ascii="Aptos" w:eastAsia="Aptos" w:hAnsi="Aptos" w:cs="Aptos"/>
                <w:sz w:val="24"/>
                <w:szCs w:val="24"/>
              </w:rPr>
              <w:pict w14:anchorId="22EF84AC">
                <v:rect id="_x0000_i1025" style="width:0;height:1.5pt" o:hralign="center" o:hrstd="t" o:hr="t" fillcolor="#a0a0a0" stroked="f"/>
              </w:pict>
            </w:r>
          </w:p>
          <w:p w14:paraId="22EF846E" w14:textId="77777777" w:rsidR="00A834DB" w:rsidRDefault="00A834DB">
            <w:pPr>
              <w:rPr>
                <w:rFonts w:ascii="Arial" w:eastAsia="Arial" w:hAnsi="Arial" w:cs="Arial"/>
                <w:b/>
                <w:sz w:val="22"/>
                <w:szCs w:val="22"/>
              </w:rPr>
            </w:pPr>
          </w:p>
          <w:p w14:paraId="22EF846F" w14:textId="77777777" w:rsidR="00A834DB" w:rsidRDefault="00BF660D">
            <w:pPr>
              <w:rPr>
                <w:rFonts w:ascii="Arial" w:eastAsia="Arial" w:hAnsi="Arial" w:cs="Arial"/>
                <w:sz w:val="22"/>
                <w:szCs w:val="22"/>
              </w:rPr>
            </w:pPr>
            <w:r>
              <w:rPr>
                <w:rFonts w:ascii="Arial" w:eastAsia="Arial" w:hAnsi="Arial" w:cs="Arial"/>
                <w:sz w:val="22"/>
                <w:szCs w:val="22"/>
              </w:rPr>
              <w:t xml:space="preserve">The Toha Network is building </w:t>
            </w:r>
            <w:r>
              <w:rPr>
                <w:rFonts w:ascii="Arial" w:eastAsia="Arial" w:hAnsi="Arial" w:cs="Arial"/>
                <w:i/>
                <w:sz w:val="22"/>
                <w:szCs w:val="22"/>
              </w:rPr>
              <w:t>digital public infrastructure</w:t>
            </w:r>
            <w:r>
              <w:rPr>
                <w:rFonts w:ascii="Arial" w:eastAsia="Arial" w:hAnsi="Arial" w:cs="Arial"/>
                <w:sz w:val="22"/>
                <w:szCs w:val="22"/>
              </w:rPr>
              <w:t xml:space="preserve"> (DPI) in service to nature, climate and community. This DPI enables a range of services, including access to impact data, provision of debt and equity, and direct disbursement of funds to frontline communities. These services can be delivered by </w:t>
            </w:r>
            <w:r>
              <w:rPr>
                <w:rFonts w:ascii="Arial" w:eastAsia="Arial" w:hAnsi="Arial" w:cs="Arial"/>
                <w:i/>
                <w:sz w:val="22"/>
                <w:szCs w:val="22"/>
              </w:rPr>
              <w:t xml:space="preserve">ventures </w:t>
            </w:r>
            <w:r>
              <w:rPr>
                <w:rFonts w:ascii="Arial" w:eastAsia="Arial" w:hAnsi="Arial" w:cs="Arial"/>
                <w:sz w:val="22"/>
                <w:szCs w:val="22"/>
              </w:rPr>
              <w:t xml:space="preserve">– that is, place-based enterprises that utilise Toha’s DPI to fulfil the aspirations of local communities. As a </w:t>
            </w:r>
            <w:proofErr w:type="spellStart"/>
            <w:r>
              <w:rPr>
                <w:rFonts w:ascii="Arial" w:eastAsia="Arial" w:hAnsi="Arial" w:cs="Arial"/>
                <w:sz w:val="22"/>
                <w:szCs w:val="22"/>
              </w:rPr>
              <w:t>Maori</w:t>
            </w:r>
            <w:proofErr w:type="spellEnd"/>
            <w:r>
              <w:rPr>
                <w:rFonts w:ascii="Arial" w:eastAsia="Arial" w:hAnsi="Arial" w:cs="Arial"/>
                <w:sz w:val="22"/>
                <w:szCs w:val="22"/>
              </w:rPr>
              <w:t xml:space="preserve">-led initiative and a founding member of the Indigenous Environmental Guardians (IEG), the Toha Network is an </w:t>
            </w:r>
            <w:r>
              <w:rPr>
                <w:rFonts w:ascii="Arial" w:eastAsia="Arial" w:hAnsi="Arial" w:cs="Arial"/>
                <w:sz w:val="22"/>
                <w:szCs w:val="22"/>
              </w:rPr>
              <w:t>example of Indigenous innovation and leadership, working directly on climate adaptation challenges in Aotearoa and beyond.</w:t>
            </w:r>
          </w:p>
          <w:p w14:paraId="22EF8470" w14:textId="77777777" w:rsidR="00A834DB" w:rsidRDefault="00A834DB">
            <w:pPr>
              <w:rPr>
                <w:rFonts w:ascii="Arial" w:eastAsia="Arial" w:hAnsi="Arial" w:cs="Arial"/>
                <w:sz w:val="22"/>
                <w:szCs w:val="22"/>
              </w:rPr>
            </w:pPr>
          </w:p>
          <w:p w14:paraId="22EF8471" w14:textId="77777777" w:rsidR="00A834DB" w:rsidRDefault="00BF660D">
            <w:pPr>
              <w:rPr>
                <w:rFonts w:ascii="Arial" w:eastAsia="Arial" w:hAnsi="Arial" w:cs="Arial"/>
                <w:sz w:val="22"/>
                <w:szCs w:val="22"/>
              </w:rPr>
            </w:pPr>
            <w:r>
              <w:rPr>
                <w:rFonts w:ascii="Arial" w:eastAsia="Arial" w:hAnsi="Arial" w:cs="Arial"/>
                <w:sz w:val="22"/>
                <w:szCs w:val="22"/>
              </w:rPr>
              <w:t xml:space="preserve">Toha’s first venture is the East Coast Exchange (ECX), established in Tairawhiti in February 2023 only days after Cyclone Gabrielle struck, to enable a community-led response and recovery in the region, as well as long-term resilience building. In doing this, the ECX was recognised by the Ministerial Inquiry into Land Uses in </w:t>
            </w:r>
            <w:proofErr w:type="spellStart"/>
            <w:r>
              <w:rPr>
                <w:rFonts w:ascii="Arial" w:eastAsia="Arial" w:hAnsi="Arial" w:cs="Arial"/>
                <w:sz w:val="22"/>
                <w:szCs w:val="22"/>
              </w:rPr>
              <w:t>Tairāwhiti</w:t>
            </w:r>
            <w:proofErr w:type="spellEnd"/>
            <w:r>
              <w:rPr>
                <w:rFonts w:ascii="Arial" w:eastAsia="Arial" w:hAnsi="Arial" w:cs="Arial"/>
                <w:sz w:val="22"/>
                <w:szCs w:val="22"/>
              </w:rPr>
              <w:t xml:space="preserve"> and Wairoa as ‘</w:t>
            </w:r>
            <w:r>
              <w:rPr>
                <w:rFonts w:ascii="Arial" w:eastAsia="Arial" w:hAnsi="Arial" w:cs="Arial"/>
                <w:i/>
                <w:sz w:val="22"/>
                <w:szCs w:val="22"/>
              </w:rPr>
              <w:t>a mechanism for funding to be distributed directly from investors to these frontline activities, furnishing resources for the activities and aspirations of communities</w:t>
            </w:r>
            <w:r>
              <w:rPr>
                <w:rFonts w:ascii="Arial" w:eastAsia="Arial" w:hAnsi="Arial" w:cs="Arial"/>
                <w:sz w:val="22"/>
                <w:szCs w:val="22"/>
              </w:rPr>
              <w:t xml:space="preserve">.’ Subsequently, the ECX has delivered globally innovative co-investment pilot to enhance resilience on </w:t>
            </w:r>
            <w:proofErr w:type="spellStart"/>
            <w:r>
              <w:rPr>
                <w:rFonts w:ascii="Arial" w:eastAsia="Arial" w:hAnsi="Arial" w:cs="Arial"/>
                <w:sz w:val="22"/>
                <w:szCs w:val="22"/>
              </w:rPr>
              <w:t>Maori</w:t>
            </w:r>
            <w:proofErr w:type="spellEnd"/>
            <w:r>
              <w:rPr>
                <w:rFonts w:ascii="Arial" w:eastAsia="Arial" w:hAnsi="Arial" w:cs="Arial"/>
                <w:sz w:val="22"/>
                <w:szCs w:val="22"/>
              </w:rPr>
              <w:t xml:space="preserve">-owned land, in partnership with Air New Zealand and Te Puni Kokiri. It has also transitioned into local ownership, led by Te </w:t>
            </w:r>
            <w:proofErr w:type="spellStart"/>
            <w:r>
              <w:rPr>
                <w:rFonts w:ascii="Arial" w:eastAsia="Arial" w:hAnsi="Arial" w:cs="Arial"/>
                <w:sz w:val="22"/>
                <w:szCs w:val="22"/>
              </w:rPr>
              <w:t>Runanganui</w:t>
            </w:r>
            <w:proofErr w:type="spellEnd"/>
            <w:r>
              <w:rPr>
                <w:rFonts w:ascii="Arial" w:eastAsia="Arial" w:hAnsi="Arial" w:cs="Arial"/>
                <w:sz w:val="22"/>
                <w:szCs w:val="22"/>
              </w:rPr>
              <w:t xml:space="preserve"> o </w:t>
            </w:r>
            <w:proofErr w:type="spellStart"/>
            <w:r>
              <w:rPr>
                <w:rFonts w:ascii="Arial" w:eastAsia="Arial" w:hAnsi="Arial" w:cs="Arial"/>
                <w:sz w:val="22"/>
                <w:szCs w:val="22"/>
              </w:rPr>
              <w:t>Ngati</w:t>
            </w:r>
            <w:proofErr w:type="spellEnd"/>
            <w:r>
              <w:rPr>
                <w:rFonts w:ascii="Arial" w:eastAsia="Arial" w:hAnsi="Arial" w:cs="Arial"/>
                <w:sz w:val="22"/>
                <w:szCs w:val="22"/>
              </w:rPr>
              <w:t xml:space="preserve"> Porou and Gisborne District Council. This innovative approach to </w:t>
            </w:r>
            <w:r>
              <w:rPr>
                <w:rFonts w:ascii="Arial" w:eastAsia="Arial" w:hAnsi="Arial" w:cs="Arial"/>
                <w:sz w:val="22"/>
                <w:szCs w:val="22"/>
              </w:rPr>
              <w:t>community-led adaptation is fulfilling MILU’s vision of Tairawhiti becoming ‘</w:t>
            </w:r>
            <w:r>
              <w:rPr>
                <w:rFonts w:ascii="Arial" w:eastAsia="Arial" w:hAnsi="Arial" w:cs="Arial"/>
                <w:i/>
                <w:sz w:val="22"/>
                <w:szCs w:val="22"/>
              </w:rPr>
              <w:t>a living laboratory, providing evidence and lessons for adapting to a climate-changing world</w:t>
            </w:r>
            <w:r>
              <w:rPr>
                <w:rFonts w:ascii="Arial" w:eastAsia="Arial" w:hAnsi="Arial" w:cs="Arial"/>
                <w:sz w:val="22"/>
                <w:szCs w:val="22"/>
              </w:rPr>
              <w:t>.’</w:t>
            </w:r>
          </w:p>
          <w:p w14:paraId="22EF8472" w14:textId="77777777" w:rsidR="00A834DB" w:rsidRDefault="00A834DB">
            <w:pPr>
              <w:rPr>
                <w:rFonts w:ascii="Arial" w:eastAsia="Arial" w:hAnsi="Arial" w:cs="Arial"/>
                <w:sz w:val="22"/>
                <w:szCs w:val="22"/>
              </w:rPr>
            </w:pPr>
          </w:p>
          <w:p w14:paraId="22EF8473" w14:textId="77777777" w:rsidR="00A834DB" w:rsidRDefault="00BF660D">
            <w:pPr>
              <w:rPr>
                <w:rFonts w:ascii="Arial" w:eastAsia="Arial" w:hAnsi="Arial" w:cs="Arial"/>
                <w:sz w:val="22"/>
                <w:szCs w:val="22"/>
              </w:rPr>
            </w:pPr>
            <w:r>
              <w:rPr>
                <w:rFonts w:ascii="Arial" w:eastAsia="Arial" w:hAnsi="Arial" w:cs="Arial"/>
                <w:sz w:val="22"/>
                <w:szCs w:val="22"/>
              </w:rPr>
              <w:t>This knowledge sharing session will draw lessons from the East Coast Exchange (ECX) experience to plant the seeds for new ventures in Aotearoa and internationally. Topics to be discussed are:</w:t>
            </w:r>
          </w:p>
          <w:p w14:paraId="22EF8474" w14:textId="77777777" w:rsidR="00A834DB" w:rsidRDefault="00BF660D">
            <w:pPr>
              <w:numPr>
                <w:ilvl w:val="0"/>
                <w:numId w:val="1"/>
              </w:numPr>
              <w:rPr>
                <w:rFonts w:ascii="Arial" w:eastAsia="Arial" w:hAnsi="Arial" w:cs="Arial"/>
                <w:sz w:val="22"/>
                <w:szCs w:val="22"/>
              </w:rPr>
            </w:pPr>
            <w:r>
              <w:rPr>
                <w:rFonts w:ascii="Arial" w:eastAsia="Arial" w:hAnsi="Arial" w:cs="Arial"/>
                <w:sz w:val="22"/>
                <w:szCs w:val="22"/>
              </w:rPr>
              <w:t>What is digital public infrastructure?</w:t>
            </w:r>
          </w:p>
          <w:p w14:paraId="22EF8475" w14:textId="77777777" w:rsidR="00A834DB" w:rsidRDefault="00BF660D">
            <w:pPr>
              <w:numPr>
                <w:ilvl w:val="0"/>
                <w:numId w:val="1"/>
              </w:numPr>
              <w:rPr>
                <w:rFonts w:ascii="Arial" w:eastAsia="Arial" w:hAnsi="Arial" w:cs="Arial"/>
                <w:sz w:val="22"/>
                <w:szCs w:val="22"/>
              </w:rPr>
            </w:pPr>
            <w:r>
              <w:rPr>
                <w:rFonts w:ascii="Arial" w:eastAsia="Arial" w:hAnsi="Arial" w:cs="Arial"/>
                <w:sz w:val="22"/>
                <w:szCs w:val="22"/>
              </w:rPr>
              <w:t>How does the Toha system work?</w:t>
            </w:r>
          </w:p>
          <w:p w14:paraId="22EF8476" w14:textId="77777777" w:rsidR="00A834DB" w:rsidRDefault="00BF660D">
            <w:pPr>
              <w:numPr>
                <w:ilvl w:val="0"/>
                <w:numId w:val="1"/>
              </w:numPr>
              <w:rPr>
                <w:rFonts w:ascii="Arial" w:eastAsia="Arial" w:hAnsi="Arial" w:cs="Arial"/>
                <w:sz w:val="22"/>
                <w:szCs w:val="22"/>
              </w:rPr>
            </w:pPr>
            <w:r>
              <w:rPr>
                <w:rFonts w:ascii="Arial" w:eastAsia="Arial" w:hAnsi="Arial" w:cs="Arial"/>
                <w:sz w:val="22"/>
                <w:szCs w:val="22"/>
              </w:rPr>
              <w:t>What is Indigenous data sovereignty and why does it matter?</w:t>
            </w:r>
          </w:p>
          <w:p w14:paraId="22EF8477" w14:textId="77777777" w:rsidR="00A834DB" w:rsidRDefault="00BF660D">
            <w:pPr>
              <w:numPr>
                <w:ilvl w:val="0"/>
                <w:numId w:val="1"/>
              </w:numPr>
              <w:rPr>
                <w:rFonts w:ascii="Arial" w:eastAsia="Arial" w:hAnsi="Arial" w:cs="Arial"/>
                <w:sz w:val="22"/>
                <w:szCs w:val="22"/>
              </w:rPr>
            </w:pPr>
            <w:r>
              <w:rPr>
                <w:rFonts w:ascii="Arial" w:eastAsia="Arial" w:hAnsi="Arial" w:cs="Arial"/>
                <w:sz w:val="22"/>
                <w:szCs w:val="22"/>
              </w:rPr>
              <w:t>What is the value of digital tokens and Web3 technology in climate adaptation?</w:t>
            </w:r>
          </w:p>
          <w:p w14:paraId="22EF8478" w14:textId="77777777" w:rsidR="00A834DB" w:rsidRDefault="00BF660D">
            <w:pPr>
              <w:numPr>
                <w:ilvl w:val="0"/>
                <w:numId w:val="1"/>
              </w:numPr>
              <w:rPr>
                <w:rFonts w:ascii="Arial" w:eastAsia="Arial" w:hAnsi="Arial" w:cs="Arial"/>
                <w:sz w:val="22"/>
                <w:szCs w:val="22"/>
              </w:rPr>
            </w:pPr>
            <w:r>
              <w:rPr>
                <w:rFonts w:ascii="Arial" w:eastAsia="Arial" w:hAnsi="Arial" w:cs="Arial"/>
                <w:sz w:val="22"/>
                <w:szCs w:val="22"/>
              </w:rPr>
              <w:t xml:space="preserve">How can my community register its interest in establishing a venture like the ECX? </w:t>
            </w:r>
          </w:p>
          <w:p w14:paraId="22EF8479" w14:textId="77777777" w:rsidR="00A834DB" w:rsidRDefault="00A834DB">
            <w:pPr>
              <w:jc w:val="both"/>
              <w:rPr>
                <w:rFonts w:ascii="Arial" w:eastAsia="Arial" w:hAnsi="Arial" w:cs="Arial"/>
                <w:sz w:val="22"/>
                <w:szCs w:val="22"/>
              </w:rPr>
            </w:pPr>
          </w:p>
          <w:p w14:paraId="22EF847A" w14:textId="77777777" w:rsidR="00A834DB" w:rsidRDefault="00BF660D">
            <w:pPr>
              <w:jc w:val="both"/>
              <w:rPr>
                <w:rFonts w:ascii="Arial" w:eastAsia="Arial" w:hAnsi="Arial" w:cs="Arial"/>
                <w:sz w:val="22"/>
                <w:szCs w:val="22"/>
              </w:rPr>
            </w:pPr>
            <w:r>
              <w:rPr>
                <w:rFonts w:ascii="Arial" w:eastAsia="Arial" w:hAnsi="Arial" w:cs="Arial"/>
                <w:sz w:val="22"/>
                <w:szCs w:val="22"/>
              </w:rPr>
              <w:t>The purpose of this event is two-fold: firstly, to support participants to understand how the Toha system might be utilised for climate adaptation and resilience building; secondly, to invite feedback on the design of the Toha system as part of our ongoing open consultation. We have a commitment to co-design and co-development to leverage the wisdom of the many and the strength of shared commitment, and this event will contribute to that mutual learning process.</w:t>
            </w:r>
          </w:p>
          <w:p w14:paraId="22EF847B" w14:textId="77777777" w:rsidR="00A834DB" w:rsidRDefault="00A834DB">
            <w:pPr>
              <w:jc w:val="both"/>
              <w:rPr>
                <w:rFonts w:ascii="Arial" w:eastAsia="Arial" w:hAnsi="Arial" w:cs="Arial"/>
                <w:sz w:val="22"/>
                <w:szCs w:val="22"/>
              </w:rPr>
            </w:pPr>
          </w:p>
          <w:p w14:paraId="7A6A5E23" w14:textId="77777777" w:rsidR="00A834DB" w:rsidRDefault="00A834DB">
            <w:pPr>
              <w:jc w:val="both"/>
              <w:rPr>
                <w:rFonts w:ascii="Arial" w:eastAsia="Arial" w:hAnsi="Arial" w:cs="Arial"/>
                <w:b/>
                <w:sz w:val="22"/>
                <w:szCs w:val="22"/>
              </w:rPr>
            </w:pPr>
          </w:p>
          <w:p w14:paraId="346497CD" w14:textId="77777777" w:rsidR="009027D1" w:rsidRDefault="009027D1">
            <w:pPr>
              <w:jc w:val="both"/>
              <w:rPr>
                <w:rFonts w:ascii="Arial" w:eastAsia="Arial" w:hAnsi="Arial" w:cs="Arial"/>
                <w:b/>
                <w:sz w:val="22"/>
                <w:szCs w:val="22"/>
              </w:rPr>
            </w:pPr>
          </w:p>
          <w:p w14:paraId="22EF847E" w14:textId="77777777" w:rsidR="00BF660D" w:rsidRDefault="00BF660D">
            <w:pPr>
              <w:jc w:val="both"/>
              <w:rPr>
                <w:rFonts w:ascii="Arial" w:eastAsia="Arial" w:hAnsi="Arial" w:cs="Arial"/>
                <w:b/>
                <w:sz w:val="22"/>
                <w:szCs w:val="22"/>
              </w:rPr>
            </w:pPr>
          </w:p>
        </w:tc>
      </w:tr>
      <w:tr w:rsidR="00A834DB" w14:paraId="22EF84A9" w14:textId="77777777">
        <w:trPr>
          <w:trHeight w:val="576"/>
        </w:trPr>
        <w:tc>
          <w:tcPr>
            <w:tcW w:w="8640" w:type="dxa"/>
          </w:tcPr>
          <w:p w14:paraId="22EF8480" w14:textId="77777777" w:rsidR="00A834DB" w:rsidRDefault="00BF660D">
            <w:pPr>
              <w:jc w:val="both"/>
              <w:rPr>
                <w:rFonts w:ascii="Arial" w:eastAsia="Arial" w:hAnsi="Arial" w:cs="Arial"/>
                <w:b/>
                <w:sz w:val="22"/>
                <w:szCs w:val="22"/>
              </w:rPr>
            </w:pPr>
            <w:r>
              <w:rPr>
                <w:rFonts w:ascii="Arial" w:eastAsia="Arial" w:hAnsi="Arial" w:cs="Arial"/>
                <w:b/>
                <w:sz w:val="22"/>
                <w:szCs w:val="22"/>
              </w:rPr>
              <w:lastRenderedPageBreak/>
              <w:t>PARTICIPANTS</w:t>
            </w:r>
          </w:p>
          <w:p w14:paraId="22EF8481" w14:textId="77777777" w:rsidR="00A834DB" w:rsidRDefault="00A834DB">
            <w:pPr>
              <w:jc w:val="both"/>
              <w:rPr>
                <w:rFonts w:ascii="Arial" w:eastAsia="Arial" w:hAnsi="Arial" w:cs="Arial"/>
                <w:b/>
                <w:sz w:val="22"/>
                <w:szCs w:val="22"/>
              </w:rPr>
            </w:pPr>
          </w:p>
          <w:p w14:paraId="22EF8482" w14:textId="77777777" w:rsidR="00A834DB" w:rsidRDefault="00BF660D">
            <w:pPr>
              <w:jc w:val="both"/>
              <w:rPr>
                <w:rFonts w:ascii="Arial" w:eastAsia="Arial" w:hAnsi="Arial" w:cs="Arial"/>
                <w:b/>
                <w:sz w:val="22"/>
                <w:szCs w:val="22"/>
                <w:u w:val="single"/>
              </w:rPr>
            </w:pPr>
            <w:r>
              <w:rPr>
                <w:rFonts w:ascii="Arial" w:eastAsia="Arial" w:hAnsi="Arial" w:cs="Arial"/>
                <w:b/>
                <w:sz w:val="22"/>
                <w:szCs w:val="22"/>
                <w:u w:val="single"/>
              </w:rPr>
              <w:t>Participant 1</w:t>
            </w:r>
          </w:p>
          <w:p w14:paraId="22EF8483" w14:textId="77777777" w:rsidR="00A834DB" w:rsidRDefault="00BF660D">
            <w:pPr>
              <w:jc w:val="both"/>
              <w:rPr>
                <w:rFonts w:ascii="Arial" w:eastAsia="Arial" w:hAnsi="Arial" w:cs="Arial"/>
                <w:sz w:val="22"/>
                <w:szCs w:val="22"/>
              </w:rPr>
            </w:pPr>
            <w:r>
              <w:rPr>
                <w:rFonts w:ascii="Arial" w:eastAsia="Arial" w:hAnsi="Arial" w:cs="Arial"/>
                <w:b/>
                <w:sz w:val="22"/>
                <w:szCs w:val="22"/>
              </w:rPr>
              <w:t xml:space="preserve">Full Name: </w:t>
            </w:r>
            <w:r>
              <w:rPr>
                <w:rFonts w:ascii="Arial" w:eastAsia="Arial" w:hAnsi="Arial" w:cs="Arial"/>
                <w:sz w:val="22"/>
                <w:szCs w:val="22"/>
              </w:rPr>
              <w:t xml:space="preserve">Renee </w:t>
            </w:r>
            <w:proofErr w:type="spellStart"/>
            <w:r>
              <w:rPr>
                <w:rFonts w:ascii="Arial" w:eastAsia="Arial" w:hAnsi="Arial" w:cs="Arial"/>
                <w:sz w:val="22"/>
                <w:szCs w:val="22"/>
              </w:rPr>
              <w:t>Raroa</w:t>
            </w:r>
            <w:proofErr w:type="spellEnd"/>
          </w:p>
          <w:p w14:paraId="22EF8484" w14:textId="77777777" w:rsidR="00A834DB" w:rsidRDefault="00BF660D">
            <w:pPr>
              <w:jc w:val="both"/>
              <w:rPr>
                <w:rFonts w:ascii="Arial" w:eastAsia="Arial" w:hAnsi="Arial" w:cs="Arial"/>
                <w:sz w:val="22"/>
                <w:szCs w:val="22"/>
              </w:rPr>
            </w:pPr>
            <w:r>
              <w:rPr>
                <w:rFonts w:ascii="Arial" w:eastAsia="Arial" w:hAnsi="Arial" w:cs="Arial"/>
                <w:b/>
                <w:sz w:val="22"/>
                <w:szCs w:val="22"/>
              </w:rPr>
              <w:t xml:space="preserve">Organisation: </w:t>
            </w:r>
            <w:r>
              <w:rPr>
                <w:rFonts w:ascii="Arial" w:eastAsia="Arial" w:hAnsi="Arial" w:cs="Arial"/>
                <w:sz w:val="22"/>
                <w:szCs w:val="22"/>
              </w:rPr>
              <w:t>East Coast Exchange</w:t>
            </w:r>
          </w:p>
          <w:p w14:paraId="22EF8485" w14:textId="1F00FF8B" w:rsidR="00A834DB" w:rsidRDefault="00BF660D">
            <w:pPr>
              <w:jc w:val="both"/>
              <w:rPr>
                <w:rFonts w:ascii="Arial" w:eastAsia="Arial" w:hAnsi="Arial" w:cs="Arial"/>
                <w:b/>
                <w:sz w:val="22"/>
                <w:szCs w:val="22"/>
              </w:rPr>
            </w:pPr>
            <w:r>
              <w:rPr>
                <w:rFonts w:ascii="Arial" w:eastAsia="Arial" w:hAnsi="Arial" w:cs="Arial"/>
                <w:b/>
                <w:sz w:val="22"/>
                <w:szCs w:val="22"/>
              </w:rPr>
              <w:t>Bio:</w:t>
            </w:r>
          </w:p>
          <w:p w14:paraId="22EF8486" w14:textId="77777777" w:rsidR="00A834DB" w:rsidRDefault="00A834DB">
            <w:pPr>
              <w:jc w:val="both"/>
              <w:rPr>
                <w:rFonts w:ascii="Arial" w:eastAsia="Arial" w:hAnsi="Arial" w:cs="Arial"/>
                <w:b/>
                <w:sz w:val="22"/>
                <w:szCs w:val="22"/>
              </w:rPr>
            </w:pPr>
          </w:p>
          <w:p w14:paraId="22EF8487" w14:textId="77777777" w:rsidR="00A834DB" w:rsidRDefault="00BF660D">
            <w:pPr>
              <w:jc w:val="both"/>
              <w:rPr>
                <w:rFonts w:ascii="Arial" w:eastAsia="Arial" w:hAnsi="Arial" w:cs="Arial"/>
                <w:sz w:val="22"/>
                <w:szCs w:val="22"/>
              </w:rPr>
            </w:pPr>
            <w:r>
              <w:rPr>
                <w:rFonts w:ascii="Arial" w:eastAsia="Arial" w:hAnsi="Arial" w:cs="Arial"/>
                <w:sz w:val="22"/>
                <w:szCs w:val="22"/>
              </w:rPr>
              <w:t xml:space="preserve">Renee </w:t>
            </w:r>
            <w:proofErr w:type="spellStart"/>
            <w:r>
              <w:rPr>
                <w:rFonts w:ascii="Arial" w:eastAsia="Arial" w:hAnsi="Arial" w:cs="Arial"/>
                <w:sz w:val="22"/>
                <w:szCs w:val="22"/>
              </w:rPr>
              <w:t>Raroa</w:t>
            </w:r>
            <w:proofErr w:type="spellEnd"/>
            <w:r>
              <w:rPr>
                <w:rFonts w:ascii="Arial" w:eastAsia="Arial" w:hAnsi="Arial" w:cs="Arial"/>
                <w:sz w:val="22"/>
                <w:szCs w:val="22"/>
              </w:rPr>
              <w:t xml:space="preserve"> (Ngāti Porou) is the Establishment Director of East Coast Exchange (ECX), an indigenous-led data cooperative driving regional regeneration. She works with Toha’s emerging nature market infrastructure to embed indigenous values and data sovereignty, fostering transparent, community-driven climate solutions and long-term resilience.</w:t>
            </w:r>
          </w:p>
          <w:p w14:paraId="22EF8488" w14:textId="77777777" w:rsidR="00A834DB" w:rsidRDefault="00A834DB">
            <w:pPr>
              <w:jc w:val="both"/>
              <w:rPr>
                <w:rFonts w:ascii="Arial" w:eastAsia="Arial" w:hAnsi="Arial" w:cs="Arial"/>
                <w:sz w:val="22"/>
                <w:szCs w:val="22"/>
              </w:rPr>
            </w:pPr>
          </w:p>
          <w:p w14:paraId="22EF848B" w14:textId="2D07A869" w:rsidR="00A834DB" w:rsidRPr="00BF660D" w:rsidRDefault="00BF660D">
            <w:pPr>
              <w:jc w:val="both"/>
              <w:rPr>
                <w:rFonts w:ascii="Arial" w:eastAsia="Arial" w:hAnsi="Arial" w:cs="Arial"/>
                <w:b/>
                <w:sz w:val="22"/>
                <w:szCs w:val="22"/>
              </w:rPr>
            </w:pPr>
            <w:r>
              <w:rPr>
                <w:rFonts w:ascii="Arial" w:eastAsia="Arial" w:hAnsi="Arial" w:cs="Arial"/>
                <w:b/>
                <w:sz w:val="22"/>
                <w:szCs w:val="22"/>
              </w:rPr>
              <w:t xml:space="preserve">Participant 1 Contribution: </w:t>
            </w:r>
          </w:p>
          <w:p w14:paraId="22EF848C" w14:textId="77777777" w:rsidR="00A834DB" w:rsidRDefault="00BF660D">
            <w:pPr>
              <w:jc w:val="both"/>
              <w:rPr>
                <w:rFonts w:ascii="Arial" w:eastAsia="Arial" w:hAnsi="Arial" w:cs="Arial"/>
                <w:sz w:val="22"/>
                <w:szCs w:val="22"/>
              </w:rPr>
            </w:pPr>
            <w:r>
              <w:rPr>
                <w:rFonts w:ascii="Arial" w:eastAsia="Arial" w:hAnsi="Arial" w:cs="Arial"/>
                <w:sz w:val="22"/>
                <w:szCs w:val="22"/>
              </w:rPr>
              <w:t>Renee will share insights from the East Coast Exchange (ECX), an indigenous-led data cooperative that works with Toha’s digital public infrastructure to support regional resilience to climate change. She will reflect on ECX’s journey in utilising Toha’s tools to help mobilise resources for community-led climate adaptation efforts, particularly in response to the impacts of Cyclone Gabrielle.</w:t>
            </w:r>
          </w:p>
          <w:p w14:paraId="22EF848D" w14:textId="77777777" w:rsidR="00A834DB" w:rsidRDefault="00BF660D">
            <w:pPr>
              <w:spacing w:before="240" w:after="240"/>
              <w:jc w:val="both"/>
              <w:rPr>
                <w:rFonts w:ascii="Arial" w:eastAsia="Arial" w:hAnsi="Arial" w:cs="Arial"/>
                <w:sz w:val="22"/>
                <w:szCs w:val="22"/>
              </w:rPr>
            </w:pPr>
            <w:r>
              <w:rPr>
                <w:rFonts w:ascii="Arial" w:eastAsia="Arial" w:hAnsi="Arial" w:cs="Arial"/>
                <w:sz w:val="22"/>
                <w:szCs w:val="22"/>
              </w:rPr>
              <w:t>Drawing from practical experience, Renee will discuss how ECX is working to embed indigenous values and data sovereignty into regional regeneration efforts, fostering greater transparency and collaboration. She will share lessons from ECX’s land use transition pilot at Te Kautuku, offering reflections on the opportunities and challenges of applying digital infrastructure to local contexts.</w:t>
            </w:r>
          </w:p>
          <w:p w14:paraId="22EF848E" w14:textId="77777777" w:rsidR="00A834DB" w:rsidRDefault="00BF660D">
            <w:pPr>
              <w:spacing w:before="240" w:after="240"/>
              <w:jc w:val="both"/>
              <w:rPr>
                <w:rFonts w:ascii="Arial" w:eastAsia="Arial" w:hAnsi="Arial" w:cs="Arial"/>
                <w:sz w:val="22"/>
                <w:szCs w:val="22"/>
              </w:rPr>
            </w:pPr>
            <w:r>
              <w:rPr>
                <w:rFonts w:ascii="Arial" w:eastAsia="Arial" w:hAnsi="Arial" w:cs="Arial"/>
                <w:sz w:val="22"/>
                <w:szCs w:val="22"/>
              </w:rPr>
              <w:t>Renee’s contribution aims to support participants in exploring how similar approaches could be adapted in their own regions. Through open discussion, she hopes to exchange ideas and learn from others on how digital public infrastructure can best serve frontline communities in building long-term climate resilience.</w:t>
            </w:r>
          </w:p>
          <w:p w14:paraId="22EF848F" w14:textId="77777777" w:rsidR="00A834DB" w:rsidRDefault="00A834DB">
            <w:pPr>
              <w:jc w:val="both"/>
              <w:rPr>
                <w:rFonts w:ascii="Arial" w:eastAsia="Arial" w:hAnsi="Arial" w:cs="Arial"/>
                <w:b/>
                <w:sz w:val="22"/>
                <w:szCs w:val="22"/>
              </w:rPr>
            </w:pPr>
          </w:p>
          <w:p w14:paraId="22EF8490" w14:textId="77777777" w:rsidR="00A834DB" w:rsidRDefault="00BF660D">
            <w:pPr>
              <w:jc w:val="both"/>
              <w:rPr>
                <w:rFonts w:ascii="Arial" w:eastAsia="Arial" w:hAnsi="Arial" w:cs="Arial"/>
                <w:b/>
                <w:sz w:val="22"/>
                <w:szCs w:val="22"/>
                <w:u w:val="single"/>
              </w:rPr>
            </w:pPr>
            <w:r>
              <w:rPr>
                <w:rFonts w:ascii="Arial" w:eastAsia="Arial" w:hAnsi="Arial" w:cs="Arial"/>
                <w:b/>
                <w:sz w:val="22"/>
                <w:szCs w:val="22"/>
                <w:u w:val="single"/>
              </w:rPr>
              <w:t>Participant 2</w:t>
            </w:r>
          </w:p>
          <w:p w14:paraId="22EF8491" w14:textId="77777777" w:rsidR="00A834DB" w:rsidRDefault="00BF660D">
            <w:pPr>
              <w:jc w:val="both"/>
              <w:rPr>
                <w:rFonts w:ascii="Arial" w:eastAsia="Arial" w:hAnsi="Arial" w:cs="Arial"/>
                <w:sz w:val="22"/>
                <w:szCs w:val="22"/>
              </w:rPr>
            </w:pPr>
            <w:r>
              <w:rPr>
                <w:rFonts w:ascii="Arial" w:eastAsia="Arial" w:hAnsi="Arial" w:cs="Arial"/>
                <w:b/>
                <w:sz w:val="22"/>
                <w:szCs w:val="22"/>
              </w:rPr>
              <w:t xml:space="preserve">Full Name: </w:t>
            </w:r>
            <w:r>
              <w:rPr>
                <w:rFonts w:ascii="Arial" w:eastAsia="Arial" w:hAnsi="Arial" w:cs="Arial"/>
                <w:sz w:val="22"/>
                <w:szCs w:val="22"/>
              </w:rPr>
              <w:t>Dr David Hall</w:t>
            </w:r>
          </w:p>
          <w:p w14:paraId="22EF8492" w14:textId="77777777" w:rsidR="00A834DB" w:rsidRDefault="00BF660D">
            <w:pPr>
              <w:jc w:val="both"/>
              <w:rPr>
                <w:rFonts w:ascii="Arial" w:eastAsia="Arial" w:hAnsi="Arial" w:cs="Arial"/>
                <w:sz w:val="22"/>
                <w:szCs w:val="22"/>
              </w:rPr>
            </w:pPr>
            <w:r>
              <w:rPr>
                <w:rFonts w:ascii="Arial" w:eastAsia="Arial" w:hAnsi="Arial" w:cs="Arial"/>
                <w:b/>
                <w:sz w:val="22"/>
                <w:szCs w:val="22"/>
              </w:rPr>
              <w:t xml:space="preserve">Organisation: </w:t>
            </w:r>
            <w:r>
              <w:rPr>
                <w:rFonts w:ascii="Arial" w:eastAsia="Arial" w:hAnsi="Arial" w:cs="Arial"/>
                <w:sz w:val="22"/>
                <w:szCs w:val="22"/>
              </w:rPr>
              <w:t>Toha Network Limited</w:t>
            </w:r>
          </w:p>
          <w:p w14:paraId="22EF8493" w14:textId="224A898D" w:rsidR="00A834DB" w:rsidRDefault="00BF660D">
            <w:pPr>
              <w:jc w:val="both"/>
              <w:rPr>
                <w:rFonts w:ascii="Arial" w:eastAsia="Arial" w:hAnsi="Arial" w:cs="Arial"/>
                <w:b/>
                <w:sz w:val="22"/>
                <w:szCs w:val="22"/>
              </w:rPr>
            </w:pPr>
            <w:r>
              <w:rPr>
                <w:rFonts w:ascii="Arial" w:eastAsia="Arial" w:hAnsi="Arial" w:cs="Arial"/>
                <w:b/>
                <w:sz w:val="22"/>
                <w:szCs w:val="22"/>
              </w:rPr>
              <w:t>Bio:</w:t>
            </w:r>
          </w:p>
          <w:p w14:paraId="22EF8494" w14:textId="77777777" w:rsidR="00A834DB" w:rsidRDefault="00A834DB">
            <w:pPr>
              <w:jc w:val="both"/>
              <w:rPr>
                <w:rFonts w:ascii="Arial" w:eastAsia="Arial" w:hAnsi="Arial" w:cs="Arial"/>
                <w:b/>
                <w:sz w:val="22"/>
                <w:szCs w:val="22"/>
              </w:rPr>
            </w:pPr>
          </w:p>
          <w:p w14:paraId="22EF8495" w14:textId="77777777" w:rsidR="00A834DB" w:rsidRDefault="00BF660D">
            <w:pPr>
              <w:jc w:val="both"/>
              <w:rPr>
                <w:rFonts w:ascii="Arial" w:eastAsia="Arial" w:hAnsi="Arial" w:cs="Arial"/>
                <w:sz w:val="22"/>
                <w:szCs w:val="22"/>
              </w:rPr>
            </w:pPr>
            <w:r>
              <w:rPr>
                <w:rFonts w:ascii="Arial" w:eastAsia="Arial" w:hAnsi="Arial" w:cs="Arial"/>
                <w:sz w:val="22"/>
                <w:szCs w:val="22"/>
              </w:rPr>
              <w:t>David Hall (</w:t>
            </w:r>
            <w:proofErr w:type="spellStart"/>
            <w:r>
              <w:rPr>
                <w:rFonts w:ascii="Arial" w:eastAsia="Arial" w:hAnsi="Arial" w:cs="Arial"/>
                <w:sz w:val="22"/>
                <w:szCs w:val="22"/>
              </w:rPr>
              <w:t>tangata</w:t>
            </w:r>
            <w:proofErr w:type="spellEnd"/>
            <w:r>
              <w:rPr>
                <w:rFonts w:ascii="Arial" w:eastAsia="Arial" w:hAnsi="Arial" w:cs="Arial"/>
                <w:sz w:val="22"/>
                <w:szCs w:val="22"/>
              </w:rPr>
              <w:t xml:space="preserve"> </w:t>
            </w:r>
            <w:proofErr w:type="spellStart"/>
            <w:r>
              <w:rPr>
                <w:rFonts w:ascii="Arial" w:eastAsia="Arial" w:hAnsi="Arial" w:cs="Arial"/>
                <w:sz w:val="22"/>
                <w:szCs w:val="22"/>
              </w:rPr>
              <w:t>tiriti</w:t>
            </w:r>
            <w:proofErr w:type="spellEnd"/>
            <w:r>
              <w:rPr>
                <w:rFonts w:ascii="Arial" w:eastAsia="Arial" w:hAnsi="Arial" w:cs="Arial"/>
                <w:sz w:val="22"/>
                <w:szCs w:val="22"/>
              </w:rPr>
              <w:t>) is Executive Director of Toha Network Limited and Senior Lecturer for Climate Action at AUT. He also served as Independent Specialist Advisor to the Finance and Expenditure Committee’s Inquiry into Climate Adaptation; Contributing Author to IPCC AR6 WG2 (Australasia chapter); and publishes widely on climate action.</w:t>
            </w:r>
          </w:p>
          <w:p w14:paraId="22EF8496" w14:textId="77777777" w:rsidR="00A834DB" w:rsidRDefault="00A834DB">
            <w:pPr>
              <w:jc w:val="both"/>
              <w:rPr>
                <w:rFonts w:ascii="Arial" w:eastAsia="Arial" w:hAnsi="Arial" w:cs="Arial"/>
                <w:sz w:val="22"/>
                <w:szCs w:val="22"/>
              </w:rPr>
            </w:pPr>
          </w:p>
          <w:p w14:paraId="22EF8497" w14:textId="77777777" w:rsidR="00A834DB" w:rsidRDefault="00BF660D">
            <w:pPr>
              <w:jc w:val="both"/>
              <w:rPr>
                <w:rFonts w:ascii="Arial" w:eastAsia="Arial" w:hAnsi="Arial" w:cs="Arial"/>
                <w:b/>
                <w:sz w:val="22"/>
                <w:szCs w:val="22"/>
              </w:rPr>
            </w:pPr>
            <w:r>
              <w:rPr>
                <w:rFonts w:ascii="Arial" w:eastAsia="Arial" w:hAnsi="Arial" w:cs="Arial"/>
                <w:b/>
                <w:sz w:val="22"/>
                <w:szCs w:val="22"/>
              </w:rPr>
              <w:t xml:space="preserve">Participant 2 Contribution: </w:t>
            </w:r>
          </w:p>
          <w:p w14:paraId="22EF8499" w14:textId="77777777" w:rsidR="00A834DB" w:rsidRDefault="00A834DB">
            <w:pPr>
              <w:jc w:val="both"/>
              <w:rPr>
                <w:rFonts w:ascii="Arial" w:eastAsia="Arial" w:hAnsi="Arial" w:cs="Arial"/>
                <w:sz w:val="22"/>
                <w:szCs w:val="22"/>
              </w:rPr>
            </w:pPr>
          </w:p>
          <w:p w14:paraId="22EF849A" w14:textId="77777777" w:rsidR="00A834DB" w:rsidRDefault="00BF660D">
            <w:pPr>
              <w:jc w:val="both"/>
              <w:rPr>
                <w:rFonts w:ascii="Arial" w:eastAsia="Arial" w:hAnsi="Arial" w:cs="Arial"/>
                <w:sz w:val="22"/>
                <w:szCs w:val="22"/>
              </w:rPr>
            </w:pPr>
            <w:r>
              <w:rPr>
                <w:rFonts w:ascii="Arial" w:eastAsia="Arial" w:hAnsi="Arial" w:cs="Arial"/>
                <w:sz w:val="22"/>
                <w:szCs w:val="22"/>
              </w:rPr>
              <w:t>David will share a perspective from Toha Network Limited which, as Network Operator, has responsibility for building, operating and scaling the Toha Network.</w:t>
            </w:r>
          </w:p>
          <w:p w14:paraId="22EF849B" w14:textId="77777777" w:rsidR="00A834DB" w:rsidRDefault="00A834DB">
            <w:pPr>
              <w:jc w:val="both"/>
              <w:rPr>
                <w:rFonts w:ascii="Arial" w:eastAsia="Arial" w:hAnsi="Arial" w:cs="Arial"/>
                <w:sz w:val="22"/>
                <w:szCs w:val="22"/>
              </w:rPr>
            </w:pPr>
          </w:p>
          <w:p w14:paraId="22EF849C" w14:textId="77777777" w:rsidR="00A834DB" w:rsidRDefault="00BF660D">
            <w:pPr>
              <w:jc w:val="both"/>
              <w:rPr>
                <w:rFonts w:ascii="Arial" w:eastAsia="Arial" w:hAnsi="Arial" w:cs="Arial"/>
                <w:sz w:val="22"/>
                <w:szCs w:val="22"/>
              </w:rPr>
            </w:pPr>
            <w:r>
              <w:rPr>
                <w:rFonts w:ascii="Arial" w:eastAsia="Arial" w:hAnsi="Arial" w:cs="Arial"/>
                <w:sz w:val="22"/>
                <w:szCs w:val="22"/>
              </w:rPr>
              <w:t xml:space="preserve">He will explain the idea of digital public infrastructure (DPI) – that is, shared digital systems for human enablement. He will also describe how the Toha Network is utilising </w:t>
            </w:r>
            <w:r>
              <w:rPr>
                <w:rFonts w:ascii="Arial" w:eastAsia="Arial" w:hAnsi="Arial" w:cs="Arial"/>
                <w:sz w:val="22"/>
                <w:szCs w:val="22"/>
              </w:rPr>
              <w:lastRenderedPageBreak/>
              <w:t>Web3 technologies – such as data templates, consent-based data sharing and digital tokens – to build DPI that enables action in service to nature and climate.</w:t>
            </w:r>
          </w:p>
          <w:p w14:paraId="22EF849D" w14:textId="77777777" w:rsidR="00A834DB" w:rsidRDefault="00A834DB">
            <w:pPr>
              <w:jc w:val="both"/>
              <w:rPr>
                <w:rFonts w:ascii="Arial" w:eastAsia="Arial" w:hAnsi="Arial" w:cs="Arial"/>
                <w:sz w:val="22"/>
                <w:szCs w:val="22"/>
              </w:rPr>
            </w:pPr>
          </w:p>
          <w:p w14:paraId="22EF849E" w14:textId="77777777" w:rsidR="00A834DB" w:rsidRDefault="00BF660D">
            <w:pPr>
              <w:jc w:val="both"/>
              <w:rPr>
                <w:rFonts w:ascii="Arial" w:eastAsia="Arial" w:hAnsi="Arial" w:cs="Arial"/>
                <w:sz w:val="22"/>
                <w:szCs w:val="22"/>
              </w:rPr>
            </w:pPr>
            <w:r>
              <w:rPr>
                <w:rFonts w:ascii="Arial" w:eastAsia="Arial" w:hAnsi="Arial" w:cs="Arial"/>
                <w:sz w:val="22"/>
                <w:szCs w:val="22"/>
              </w:rPr>
              <w:t>He will further explain why the principles of data sovereignty – and Indigenous data sovereignty (</w:t>
            </w:r>
            <w:proofErr w:type="spellStart"/>
            <w:r>
              <w:rPr>
                <w:rFonts w:ascii="Arial" w:eastAsia="Arial" w:hAnsi="Arial" w:cs="Arial"/>
                <w:sz w:val="22"/>
                <w:szCs w:val="22"/>
              </w:rPr>
              <w:t>IDSov</w:t>
            </w:r>
            <w:proofErr w:type="spellEnd"/>
            <w:r>
              <w:rPr>
                <w:rFonts w:ascii="Arial" w:eastAsia="Arial" w:hAnsi="Arial" w:cs="Arial"/>
                <w:sz w:val="22"/>
                <w:szCs w:val="22"/>
              </w:rPr>
              <w:t xml:space="preserve">) in particular – are a minimum operational requirement for the Toha Network. This is a topic which Toha’s leadership group was invited to discuss at an official side-event at the UN Biodiversity Conference (COP16) in Cali, Colombia. Here, we (Renee and David) will explain how </w:t>
            </w:r>
            <w:proofErr w:type="spellStart"/>
            <w:r>
              <w:rPr>
                <w:rFonts w:ascii="Arial" w:eastAsia="Arial" w:hAnsi="Arial" w:cs="Arial"/>
                <w:sz w:val="22"/>
                <w:szCs w:val="22"/>
              </w:rPr>
              <w:t>IDSov</w:t>
            </w:r>
            <w:proofErr w:type="spellEnd"/>
            <w:r>
              <w:rPr>
                <w:rFonts w:ascii="Arial" w:eastAsia="Arial" w:hAnsi="Arial" w:cs="Arial"/>
                <w:sz w:val="22"/>
                <w:szCs w:val="22"/>
              </w:rPr>
              <w:t xml:space="preserve"> is empowered by the Toha system, and why this is beneficial for everyone, including local communities and non-Indigenous peoples.</w:t>
            </w:r>
          </w:p>
          <w:p w14:paraId="22EF849F" w14:textId="77777777" w:rsidR="00A834DB" w:rsidRDefault="00A834DB">
            <w:pPr>
              <w:jc w:val="both"/>
              <w:rPr>
                <w:rFonts w:ascii="Arial" w:eastAsia="Arial" w:hAnsi="Arial" w:cs="Arial"/>
                <w:sz w:val="22"/>
                <w:szCs w:val="22"/>
              </w:rPr>
            </w:pPr>
          </w:p>
          <w:p w14:paraId="22EF84A0" w14:textId="77777777" w:rsidR="00A834DB" w:rsidRDefault="00BF660D">
            <w:pPr>
              <w:jc w:val="both"/>
              <w:rPr>
                <w:rFonts w:ascii="Arial" w:eastAsia="Arial" w:hAnsi="Arial" w:cs="Arial"/>
                <w:sz w:val="22"/>
                <w:szCs w:val="22"/>
              </w:rPr>
            </w:pPr>
            <w:r>
              <w:rPr>
                <w:rFonts w:ascii="Arial" w:eastAsia="Arial" w:hAnsi="Arial" w:cs="Arial"/>
                <w:sz w:val="22"/>
                <w:szCs w:val="22"/>
              </w:rPr>
              <w:t xml:space="preserve">Finally, David will explain how local communities can become – like the ECX is already doing – a venture that operates on Toha’s DPI. By doing so, a venture has the digital tools to track the impacts of ecosystem-based adaptation and other types of risk reduction; to share secure and sovereign data; and to pay for, and be paid for, actions in service to nature and climate. David will also describe our recent transactions with Air New Zealand, Te Puni </w:t>
            </w:r>
            <w:proofErr w:type="spellStart"/>
            <w:r>
              <w:rPr>
                <w:rFonts w:ascii="Arial" w:eastAsia="Arial" w:hAnsi="Arial" w:cs="Arial"/>
                <w:sz w:val="22"/>
                <w:szCs w:val="22"/>
              </w:rPr>
              <w:t>Kōkiri</w:t>
            </w:r>
            <w:proofErr w:type="spellEnd"/>
            <w:r>
              <w:rPr>
                <w:rFonts w:ascii="Arial" w:eastAsia="Arial" w:hAnsi="Arial" w:cs="Arial"/>
                <w:sz w:val="22"/>
                <w:szCs w:val="22"/>
              </w:rPr>
              <w:t xml:space="preserve"> and Silver Fern Farms to enhance climate resilience through ecosystem restoration. </w:t>
            </w:r>
          </w:p>
          <w:p w14:paraId="22EF84A1" w14:textId="77777777" w:rsidR="00A834DB" w:rsidRDefault="00A834DB">
            <w:pPr>
              <w:jc w:val="both"/>
              <w:rPr>
                <w:rFonts w:ascii="Arial" w:eastAsia="Arial" w:hAnsi="Arial" w:cs="Arial"/>
                <w:sz w:val="22"/>
                <w:szCs w:val="22"/>
              </w:rPr>
            </w:pPr>
          </w:p>
          <w:p w14:paraId="22EF84A2" w14:textId="77777777" w:rsidR="00A834DB" w:rsidRDefault="00BF660D">
            <w:pPr>
              <w:jc w:val="both"/>
              <w:rPr>
                <w:rFonts w:ascii="Arial" w:eastAsia="Arial" w:hAnsi="Arial" w:cs="Arial"/>
                <w:sz w:val="22"/>
                <w:szCs w:val="22"/>
              </w:rPr>
            </w:pPr>
            <w:r>
              <w:rPr>
                <w:rFonts w:ascii="Arial" w:eastAsia="Arial" w:hAnsi="Arial" w:cs="Arial"/>
                <w:sz w:val="22"/>
                <w:szCs w:val="22"/>
              </w:rPr>
              <w:t>Q&amp;A throughout.</w:t>
            </w:r>
          </w:p>
          <w:p w14:paraId="22EF84A3" w14:textId="77777777" w:rsidR="00A834DB" w:rsidRDefault="00A834DB">
            <w:pPr>
              <w:jc w:val="both"/>
              <w:rPr>
                <w:rFonts w:ascii="Arial" w:eastAsia="Arial" w:hAnsi="Arial" w:cs="Arial"/>
                <w:sz w:val="22"/>
                <w:szCs w:val="22"/>
              </w:rPr>
            </w:pPr>
          </w:p>
          <w:p w14:paraId="22EF84A8" w14:textId="77777777" w:rsidR="00A834DB" w:rsidRDefault="00A834DB" w:rsidP="00BF660D">
            <w:pPr>
              <w:pBdr>
                <w:top w:val="nil"/>
                <w:left w:val="nil"/>
                <w:bottom w:val="nil"/>
                <w:right w:val="nil"/>
                <w:between w:val="nil"/>
              </w:pBdr>
              <w:spacing w:after="160" w:line="259" w:lineRule="auto"/>
              <w:jc w:val="both"/>
              <w:rPr>
                <w:rFonts w:ascii="Arial" w:eastAsia="Arial" w:hAnsi="Arial" w:cs="Arial"/>
                <w:b/>
                <w:sz w:val="22"/>
                <w:szCs w:val="22"/>
              </w:rPr>
            </w:pPr>
          </w:p>
        </w:tc>
      </w:tr>
    </w:tbl>
    <w:p w14:paraId="22EF84AA" w14:textId="77777777" w:rsidR="00A834DB" w:rsidRDefault="00A834DB"/>
    <w:p w14:paraId="22EF84AB" w14:textId="77777777" w:rsidR="00A834DB" w:rsidRDefault="00A834DB"/>
    <w:sectPr w:rsidR="00A834DB">
      <w:pgSz w:w="12240" w:h="15840"/>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8FE97119-3721-42FC-9932-2CD4E24AB443}"/>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2" w:fontKey="{216DEB66-7B58-4B0B-BDEA-80F3D1D66155}"/>
    <w:embedItalic r:id="rId3" w:fontKey="{81D60D13-F1DA-4A72-8FEC-DD561394531D}"/>
  </w:font>
  <w:font w:name="Play">
    <w:charset w:val="00"/>
    <w:family w:val="auto"/>
    <w:pitch w:val="default"/>
    <w:embedRegular r:id="rId4" w:fontKey="{DD4D46E1-2D36-4889-A1E2-D6C0DE52EB89}"/>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5" w:fontKey="{1390FCE8-B5F7-42CA-A251-4E3D47113C38}"/>
  </w:font>
  <w:font w:name="Cambria">
    <w:panose1 w:val="02040503050406030204"/>
    <w:charset w:val="00"/>
    <w:family w:val="roman"/>
    <w:pitch w:val="variable"/>
    <w:sig w:usb0="E00006FF" w:usb1="420024FF" w:usb2="02000000" w:usb3="00000000" w:csb0="0000019F" w:csb1="00000000"/>
    <w:embedRegular r:id="rId6" w:fontKey="{C6378897-EAB4-41F9-ABE4-F7D50BE431E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6A0524E"/>
    <w:multiLevelType w:val="multilevel"/>
    <w:tmpl w:val="62B2C1AA"/>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59B6588C"/>
    <w:multiLevelType w:val="multilevel"/>
    <w:tmpl w:val="72F0DB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825121058">
    <w:abstractNumId w:val="1"/>
  </w:num>
  <w:num w:numId="2" w16cid:durableId="16761115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34DB"/>
    <w:rsid w:val="009027D1"/>
    <w:rsid w:val="00A834DB"/>
    <w:rsid w:val="00A83EFB"/>
    <w:rsid w:val="00BD30CD"/>
    <w:rsid w:val="00BF660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2EF8465"/>
  <w15:docId w15:val="{9034DF11-6AE7-4764-B138-2C4807C1F7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CA" w:eastAsia="en-N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line="259" w:lineRule="auto"/>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line="259" w:lineRule="auto"/>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line="259" w:lineRule="auto"/>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line="259" w:lineRule="auto"/>
      <w:outlineLvl w:val="3"/>
    </w:pPr>
    <w:rPr>
      <w:i/>
      <w:color w:val="0F4761"/>
      <w:sz w:val="22"/>
      <w:szCs w:val="22"/>
    </w:rPr>
  </w:style>
  <w:style w:type="paragraph" w:styleId="Heading5">
    <w:name w:val="heading 5"/>
    <w:basedOn w:val="Normal"/>
    <w:next w:val="Normal"/>
    <w:uiPriority w:val="9"/>
    <w:semiHidden/>
    <w:unhideWhenUsed/>
    <w:qFormat/>
    <w:pPr>
      <w:keepNext/>
      <w:keepLines/>
      <w:spacing w:before="80" w:after="40" w:line="259" w:lineRule="auto"/>
      <w:outlineLvl w:val="4"/>
    </w:pPr>
    <w:rPr>
      <w:color w:val="0F4761"/>
      <w:sz w:val="22"/>
      <w:szCs w:val="22"/>
    </w:rPr>
  </w:style>
  <w:style w:type="paragraph" w:styleId="Heading6">
    <w:name w:val="heading 6"/>
    <w:basedOn w:val="Normal"/>
    <w:next w:val="Normal"/>
    <w:uiPriority w:val="9"/>
    <w:semiHidden/>
    <w:unhideWhenUsed/>
    <w:qFormat/>
    <w:pPr>
      <w:keepNext/>
      <w:keepLines/>
      <w:spacing w:before="40" w:line="259" w:lineRule="auto"/>
      <w:outlineLvl w:val="5"/>
    </w:pPr>
    <w:rPr>
      <w:i/>
      <w:color w:val="595959"/>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80"/>
    </w:pPr>
    <w:rPr>
      <w:rFonts w:ascii="Play" w:eastAsia="Play" w:hAnsi="Play" w:cs="Play"/>
      <w:sz w:val="56"/>
      <w:szCs w:val="56"/>
    </w:rPr>
  </w:style>
  <w:style w:type="paragraph" w:styleId="Subtitle">
    <w:name w:val="Subtitle"/>
    <w:basedOn w:val="Normal"/>
    <w:next w:val="Normal"/>
    <w:uiPriority w:val="11"/>
    <w:qFormat/>
    <w:pPr>
      <w:spacing w:after="160" w:line="259" w:lineRule="auto"/>
    </w:pPr>
    <w:rPr>
      <w:color w:val="595959"/>
      <w:sz w:val="28"/>
      <w:szCs w:val="28"/>
    </w:rPr>
  </w:style>
  <w:style w:type="table" w:customStyle="1" w:styleId="a">
    <w:basedOn w:val="TableNormal"/>
    <w:rPr>
      <w:rFonts w:ascii="Times New Roman" w:eastAsia="Times New Roman" w:hAnsi="Times New Roman" w:cs="Times New Roman"/>
      <w:sz w:val="20"/>
      <w:szCs w:val="20"/>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Pages>
  <Words>955</Words>
  <Characters>5448</Characters>
  <Application>Microsoft Office Word</Application>
  <DocSecurity>0</DocSecurity>
  <Lines>45</Lines>
  <Paragraphs>12</Paragraphs>
  <ScaleCrop>false</ScaleCrop>
  <Company/>
  <LinksUpToDate>false</LinksUpToDate>
  <CharactersWithSpaces>6391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Bethany Yee</cp:lastModifiedBy>
  <cp:revision>4</cp:revision>
  <dcterms:created xsi:type="dcterms:W3CDTF">2025-08-19T00:09:00Z</dcterms:created>
  <dcterms:modified xsi:type="dcterms:W3CDTF">2025-08-19T00:11:00Z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0x01010004DB0B76CE105D459F58063C0D0B3831</vt:lpwstr>
  </property>
  <property fmtid="{D5CDD505-2E9C-101B-9397-08002B2CF9AE}" pid="3" name="MediaServiceImageTags">
    <vt:lpwstr>MediaServiceImageTags</vt:lpwstr>
  </property>
</Properties>
</file>