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E8A9B56" w:rsidR="00660759" w:rsidRPr="00057302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05730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9623D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25725D"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r w:rsidR="0079623D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25725D">
              <w:rPr>
                <w:rFonts w:ascii="Arial" w:hAnsi="Arial" w:cs="Arial"/>
                <w:b/>
                <w:sz w:val="22"/>
                <w:szCs w:val="22"/>
              </w:rPr>
              <w:t xml:space="preserve">et </w:t>
            </w:r>
            <w:r w:rsidR="0079623D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25725D">
              <w:rPr>
                <w:rFonts w:ascii="Arial" w:hAnsi="Arial" w:cs="Arial"/>
                <w:b/>
                <w:sz w:val="22"/>
                <w:szCs w:val="22"/>
              </w:rPr>
              <w:t>ealth in Canterbury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BEEE9A1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FCFC065" w14:textId="13752825" w:rsidR="008102FD" w:rsidRDefault="0025725D" w:rsidP="008102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2FD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79623D">
              <w:rPr>
                <w:rFonts w:ascii="Arial" w:hAnsi="Arial" w:cs="Arial"/>
                <w:sz w:val="22"/>
                <w:szCs w:val="22"/>
              </w:rPr>
              <w:t>G</w:t>
            </w:r>
            <w:r w:rsidRPr="008102FD"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="0079623D">
              <w:rPr>
                <w:rFonts w:ascii="Arial" w:hAnsi="Arial" w:cs="Arial"/>
                <w:sz w:val="22"/>
                <w:szCs w:val="22"/>
              </w:rPr>
              <w:t>H</w:t>
            </w:r>
            <w:r w:rsidRPr="008102FD">
              <w:rPr>
                <w:rFonts w:ascii="Arial" w:hAnsi="Arial" w:cs="Arial"/>
                <w:sz w:val="22"/>
                <w:szCs w:val="22"/>
              </w:rPr>
              <w:t>ealth in Canterbury</w:t>
            </w:r>
            <w:r w:rsidR="00E91CF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E91CF5">
              <w:rPr>
                <w:rFonts w:ascii="Arial" w:hAnsi="Arial" w:cs="Arial"/>
                <w:sz w:val="22"/>
                <w:szCs w:val="22"/>
              </w:rPr>
              <w:t>CGHiC</w:t>
            </w:r>
            <w:proofErr w:type="spellEnd"/>
            <w:r w:rsidR="00E91CF5">
              <w:rPr>
                <w:rFonts w:ascii="Arial" w:hAnsi="Arial" w:cs="Arial"/>
                <w:sz w:val="22"/>
                <w:szCs w:val="22"/>
              </w:rPr>
              <w:t>)</w:t>
            </w:r>
            <w:r w:rsidRPr="008102FD">
              <w:rPr>
                <w:rFonts w:ascii="Arial" w:hAnsi="Arial" w:cs="Arial"/>
                <w:sz w:val="22"/>
                <w:szCs w:val="22"/>
              </w:rPr>
              <w:t xml:space="preserve"> is a partnership project between</w:t>
            </w:r>
            <w:r w:rsidR="00F81DEC" w:rsidRPr="008102FD">
              <w:rPr>
                <w:rFonts w:ascii="Arial" w:hAnsi="Arial" w:cs="Arial"/>
                <w:sz w:val="22"/>
                <w:szCs w:val="22"/>
              </w:rPr>
              <w:t xml:space="preserve"> Sydney Local Health District</w:t>
            </w:r>
            <w:r w:rsidR="00E91CF5">
              <w:rPr>
                <w:rFonts w:ascii="Arial" w:hAnsi="Arial" w:cs="Arial"/>
                <w:sz w:val="22"/>
                <w:szCs w:val="22"/>
              </w:rPr>
              <w:t>,</w:t>
            </w:r>
            <w:r w:rsidR="00F81DEC" w:rsidRPr="008102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2FD" w:rsidRPr="008102FD">
              <w:rPr>
                <w:rFonts w:ascii="Arial" w:hAnsi="Arial" w:cs="Arial"/>
                <w:sz w:val="22"/>
                <w:szCs w:val="22"/>
              </w:rPr>
              <w:t xml:space="preserve">the Central </w:t>
            </w:r>
            <w:r w:rsidR="00C34516">
              <w:rPr>
                <w:rFonts w:ascii="Arial" w:hAnsi="Arial" w:cs="Arial"/>
                <w:sz w:val="22"/>
                <w:szCs w:val="22"/>
              </w:rPr>
              <w:t>E</w:t>
            </w:r>
            <w:r w:rsidR="008102FD" w:rsidRPr="008102FD">
              <w:rPr>
                <w:rFonts w:ascii="Arial" w:hAnsi="Arial" w:cs="Arial"/>
                <w:sz w:val="22"/>
                <w:szCs w:val="22"/>
              </w:rPr>
              <w:t xml:space="preserve">astern </w:t>
            </w:r>
            <w:r w:rsidR="00C34516">
              <w:rPr>
                <w:rFonts w:ascii="Arial" w:hAnsi="Arial" w:cs="Arial"/>
                <w:sz w:val="22"/>
                <w:szCs w:val="22"/>
              </w:rPr>
              <w:t>S</w:t>
            </w:r>
            <w:r w:rsidR="008102FD" w:rsidRPr="008102FD">
              <w:rPr>
                <w:rFonts w:ascii="Arial" w:hAnsi="Arial" w:cs="Arial"/>
                <w:sz w:val="22"/>
                <w:szCs w:val="22"/>
              </w:rPr>
              <w:t xml:space="preserve">ydney </w:t>
            </w:r>
            <w:r w:rsidR="00C34516">
              <w:rPr>
                <w:rFonts w:ascii="Arial" w:hAnsi="Arial" w:cs="Arial"/>
                <w:sz w:val="22"/>
                <w:szCs w:val="22"/>
              </w:rPr>
              <w:t>P</w:t>
            </w:r>
            <w:r w:rsidR="008102FD" w:rsidRPr="008102FD">
              <w:rPr>
                <w:rFonts w:ascii="Arial" w:hAnsi="Arial" w:cs="Arial"/>
                <w:sz w:val="22"/>
                <w:szCs w:val="22"/>
              </w:rPr>
              <w:t xml:space="preserve">rimary </w:t>
            </w:r>
            <w:r w:rsidR="00C34516">
              <w:rPr>
                <w:rFonts w:ascii="Arial" w:hAnsi="Arial" w:cs="Arial"/>
                <w:sz w:val="22"/>
                <w:szCs w:val="22"/>
              </w:rPr>
              <w:t>H</w:t>
            </w:r>
            <w:r w:rsidR="008102FD" w:rsidRPr="008102FD">
              <w:rPr>
                <w:rFonts w:ascii="Arial" w:hAnsi="Arial" w:cs="Arial"/>
                <w:sz w:val="22"/>
                <w:szCs w:val="22"/>
              </w:rPr>
              <w:t>ealth Network</w:t>
            </w:r>
            <w:r w:rsidR="00426DA0">
              <w:rPr>
                <w:rFonts w:ascii="Arial" w:hAnsi="Arial" w:cs="Arial"/>
                <w:sz w:val="22"/>
                <w:szCs w:val="22"/>
              </w:rPr>
              <w:t xml:space="preserve"> (CESPHN)</w:t>
            </w:r>
            <w:r w:rsidR="00E91CF5">
              <w:rPr>
                <w:rFonts w:ascii="Arial" w:hAnsi="Arial" w:cs="Arial"/>
                <w:sz w:val="22"/>
                <w:szCs w:val="22"/>
              </w:rPr>
              <w:t xml:space="preserve"> and the University of New South Wales</w:t>
            </w:r>
            <w:r w:rsidR="008102FD" w:rsidRPr="008102FD">
              <w:rPr>
                <w:rFonts w:ascii="Arial" w:hAnsi="Arial" w:cs="Arial"/>
                <w:sz w:val="22"/>
                <w:szCs w:val="22"/>
              </w:rPr>
              <w:t>.</w:t>
            </w:r>
            <w:r w:rsidR="008102FD">
              <w:rPr>
                <w:rFonts w:ascii="Arial" w:hAnsi="Arial" w:cs="Arial"/>
                <w:sz w:val="22"/>
                <w:szCs w:val="22"/>
              </w:rPr>
              <w:t xml:space="preserve"> Located in one of the most disadvantage</w:t>
            </w:r>
            <w:r w:rsidR="0018463E">
              <w:rPr>
                <w:rFonts w:ascii="Arial" w:hAnsi="Arial" w:cs="Arial"/>
                <w:sz w:val="22"/>
                <w:szCs w:val="22"/>
              </w:rPr>
              <w:t>d</w:t>
            </w:r>
            <w:r w:rsidR="008102FD">
              <w:rPr>
                <w:rFonts w:ascii="Arial" w:hAnsi="Arial" w:cs="Arial"/>
                <w:sz w:val="22"/>
                <w:szCs w:val="22"/>
              </w:rPr>
              <w:t xml:space="preserve"> Local Government Areas in New </w:t>
            </w:r>
            <w:r w:rsidR="00C34516">
              <w:rPr>
                <w:rFonts w:ascii="Arial" w:hAnsi="Arial" w:cs="Arial"/>
                <w:sz w:val="22"/>
                <w:szCs w:val="22"/>
              </w:rPr>
              <w:t>So</w:t>
            </w:r>
            <w:r w:rsidR="008102FD">
              <w:rPr>
                <w:rFonts w:ascii="Arial" w:hAnsi="Arial" w:cs="Arial"/>
                <w:sz w:val="22"/>
                <w:szCs w:val="22"/>
              </w:rPr>
              <w:t>uth Wales, A</w:t>
            </w:r>
            <w:r w:rsidR="0079623D">
              <w:rPr>
                <w:rFonts w:ascii="Arial" w:hAnsi="Arial" w:cs="Arial"/>
                <w:sz w:val="22"/>
                <w:szCs w:val="22"/>
              </w:rPr>
              <w:t xml:space="preserve">ustralia with </w:t>
            </w:r>
            <w:r w:rsidR="00466729">
              <w:rPr>
                <w:rFonts w:ascii="Arial" w:hAnsi="Arial" w:cs="Arial"/>
                <w:sz w:val="22"/>
                <w:szCs w:val="22"/>
              </w:rPr>
              <w:t xml:space="preserve">230,000 </w:t>
            </w:r>
            <w:r w:rsidR="0079623D">
              <w:rPr>
                <w:rFonts w:ascii="Arial" w:hAnsi="Arial" w:cs="Arial"/>
                <w:sz w:val="22"/>
                <w:szCs w:val="22"/>
              </w:rPr>
              <w:t>residents.</w:t>
            </w:r>
            <w:r w:rsidR="008102FD">
              <w:rPr>
                <w:rFonts w:ascii="Arial" w:hAnsi="Arial" w:cs="Arial"/>
                <w:sz w:val="22"/>
                <w:szCs w:val="22"/>
              </w:rPr>
              <w:t xml:space="preserve"> Over 40% residents </w:t>
            </w:r>
            <w:r w:rsidR="00E91CF5">
              <w:rPr>
                <w:rFonts w:ascii="Arial" w:hAnsi="Arial" w:cs="Arial"/>
                <w:sz w:val="22"/>
                <w:szCs w:val="22"/>
              </w:rPr>
              <w:t xml:space="preserve">in Canterbury </w:t>
            </w:r>
            <w:r w:rsidR="008102FD">
              <w:rPr>
                <w:rFonts w:ascii="Arial" w:hAnsi="Arial" w:cs="Arial"/>
                <w:sz w:val="22"/>
                <w:szCs w:val="22"/>
              </w:rPr>
              <w:t>were born overseas and 70% speak a language other than English at home.</w:t>
            </w:r>
            <w:r w:rsidR="00AD55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2FD">
              <w:rPr>
                <w:rFonts w:ascii="Arial" w:hAnsi="Arial" w:cs="Arial"/>
                <w:sz w:val="22"/>
                <w:szCs w:val="22"/>
              </w:rPr>
              <w:t>The objectives of the program are to</w:t>
            </w:r>
            <w:r w:rsidR="00E91CF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B6D4E32" w14:textId="5AF6A0B2" w:rsidR="008102FD" w:rsidRPr="008102FD" w:rsidRDefault="008102FD" w:rsidP="008102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2FD">
              <w:rPr>
                <w:rFonts w:ascii="Arial" w:hAnsi="Arial" w:cs="Arial"/>
                <w:sz w:val="22"/>
                <w:szCs w:val="22"/>
              </w:rPr>
              <w:t xml:space="preserve">Increase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102FD">
              <w:rPr>
                <w:rFonts w:ascii="Arial" w:hAnsi="Arial" w:cs="Arial"/>
                <w:sz w:val="22"/>
                <w:szCs w:val="22"/>
              </w:rPr>
              <w:t xml:space="preserve">ccess to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102FD">
              <w:rPr>
                <w:rFonts w:ascii="Arial" w:hAnsi="Arial" w:cs="Arial"/>
                <w:sz w:val="22"/>
                <w:szCs w:val="22"/>
              </w:rPr>
              <w:t>omprehen</w:t>
            </w:r>
            <w:r w:rsidR="00D8346C">
              <w:rPr>
                <w:rFonts w:ascii="Arial" w:hAnsi="Arial" w:cs="Arial"/>
                <w:sz w:val="22"/>
                <w:szCs w:val="22"/>
              </w:rPr>
              <w:t>s</w:t>
            </w:r>
            <w:r w:rsidRPr="008102FD">
              <w:rPr>
                <w:rFonts w:ascii="Arial" w:hAnsi="Arial" w:cs="Arial"/>
                <w:sz w:val="22"/>
                <w:szCs w:val="22"/>
              </w:rPr>
              <w:t xml:space="preserve">ive </w:t>
            </w:r>
            <w:r w:rsidR="00466729" w:rsidRPr="008102FD">
              <w:rPr>
                <w:rFonts w:ascii="Arial" w:hAnsi="Arial" w:cs="Arial"/>
                <w:sz w:val="22"/>
                <w:szCs w:val="22"/>
              </w:rPr>
              <w:t>primary</w:t>
            </w:r>
            <w:r w:rsidRPr="008102FD">
              <w:rPr>
                <w:rFonts w:ascii="Arial" w:hAnsi="Arial" w:cs="Arial"/>
                <w:sz w:val="22"/>
                <w:szCs w:val="22"/>
              </w:rPr>
              <w:t xml:space="preserve"> health care</w:t>
            </w:r>
          </w:p>
          <w:p w14:paraId="23CAD78B" w14:textId="2CE0BB53" w:rsidR="008102FD" w:rsidRPr="008102FD" w:rsidRDefault="008102FD" w:rsidP="008102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2FD">
              <w:rPr>
                <w:rFonts w:ascii="Arial" w:hAnsi="Arial" w:cs="Arial"/>
                <w:sz w:val="22"/>
                <w:szCs w:val="22"/>
              </w:rPr>
              <w:t xml:space="preserve">Increase individual and </w:t>
            </w:r>
            <w:r w:rsidR="00E91CF5">
              <w:rPr>
                <w:rFonts w:ascii="Arial" w:hAnsi="Arial" w:cs="Arial"/>
                <w:sz w:val="22"/>
                <w:szCs w:val="22"/>
              </w:rPr>
              <w:t>c</w:t>
            </w:r>
            <w:r w:rsidRPr="008102FD">
              <w:rPr>
                <w:rFonts w:ascii="Arial" w:hAnsi="Arial" w:cs="Arial"/>
                <w:sz w:val="22"/>
                <w:szCs w:val="22"/>
              </w:rPr>
              <w:t xml:space="preserve">ommunity </w:t>
            </w:r>
            <w:r w:rsidR="00E91CF5">
              <w:rPr>
                <w:rFonts w:ascii="Arial" w:hAnsi="Arial" w:cs="Arial"/>
                <w:sz w:val="22"/>
                <w:szCs w:val="22"/>
              </w:rPr>
              <w:t>h</w:t>
            </w:r>
            <w:r w:rsidRPr="008102FD">
              <w:rPr>
                <w:rFonts w:ascii="Arial" w:hAnsi="Arial" w:cs="Arial"/>
                <w:sz w:val="22"/>
                <w:szCs w:val="22"/>
              </w:rPr>
              <w:t>ealth literacy</w:t>
            </w:r>
          </w:p>
          <w:p w14:paraId="24A9DB13" w14:textId="15598BA0" w:rsidR="008102FD" w:rsidRDefault="008102FD" w:rsidP="008102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02FD">
              <w:rPr>
                <w:rFonts w:ascii="Arial" w:hAnsi="Arial" w:cs="Arial"/>
                <w:sz w:val="22"/>
                <w:szCs w:val="22"/>
              </w:rPr>
              <w:t>Address at least one social determinants of health.</w:t>
            </w:r>
          </w:p>
          <w:p w14:paraId="4C043CE9" w14:textId="77777777" w:rsidR="00E91CF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FD4C3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3F41560" w14:textId="17EEDB29" w:rsidR="007D5CFC" w:rsidRDefault="007D5CFC" w:rsidP="007D5C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Place-based interventions</w:t>
            </w:r>
            <w:r w:rsidR="0001324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frequently involve collaboration </w:t>
            </w:r>
            <w:r w:rsidR="0001324F">
              <w:rPr>
                <w:rFonts w:ascii="Arial" w:hAnsi="Arial" w:cs="Arial"/>
                <w:sz w:val="22"/>
                <w:szCs w:val="22"/>
              </w:rPr>
              <w:t>across</w:t>
            </w:r>
            <w:r>
              <w:rPr>
                <w:rFonts w:ascii="Arial" w:hAnsi="Arial" w:cs="Arial"/>
                <w:sz w:val="22"/>
                <w:szCs w:val="22"/>
              </w:rPr>
              <w:t xml:space="preserve"> sectors, including community members.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CGHiC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this has meant establishing Management and Advisory Committees representing community organisations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and migrant community groups, GPs and local health workers,</w:t>
            </w:r>
            <w:r w:rsidR="001A1B2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working with them on joint projects</w:t>
            </w:r>
            <w:r w:rsidR="00B57E4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8" w14:textId="51799985" w:rsidR="00DA7A71" w:rsidRDefault="004A553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</w:t>
            </w:r>
            <w:r w:rsidR="00FD4C33" w:rsidRPr="00FE6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CF5">
              <w:rPr>
                <w:rFonts w:ascii="Arial" w:hAnsi="Arial" w:cs="Arial"/>
                <w:sz w:val="22"/>
                <w:szCs w:val="22"/>
              </w:rPr>
              <w:t xml:space="preserve">reviewed the </w:t>
            </w:r>
            <w:r w:rsidR="00FD4C33" w:rsidRPr="00FE6D5F">
              <w:rPr>
                <w:rFonts w:ascii="Arial" w:hAnsi="Arial" w:cs="Arial"/>
                <w:sz w:val="22"/>
                <w:szCs w:val="22"/>
              </w:rPr>
              <w:t>literature, interrogated local census</w:t>
            </w:r>
            <w:r w:rsidR="00FE6D5F" w:rsidRPr="00FE6D5F">
              <w:rPr>
                <w:rFonts w:ascii="Arial" w:hAnsi="Arial" w:cs="Arial"/>
                <w:sz w:val="22"/>
                <w:szCs w:val="22"/>
              </w:rPr>
              <w:t xml:space="preserve"> and health data and engaged in </w:t>
            </w:r>
            <w:r w:rsidR="00324276">
              <w:rPr>
                <w:rFonts w:ascii="Arial" w:hAnsi="Arial" w:cs="Arial"/>
                <w:sz w:val="22"/>
                <w:szCs w:val="22"/>
              </w:rPr>
              <w:t>a</w:t>
            </w:r>
            <w:r w:rsidR="00FE6D5F" w:rsidRPr="00FE6D5F">
              <w:rPr>
                <w:rFonts w:ascii="Arial" w:hAnsi="Arial" w:cs="Arial"/>
                <w:sz w:val="22"/>
                <w:szCs w:val="22"/>
              </w:rPr>
              <w:t xml:space="preserve"> needs assessment</w:t>
            </w:r>
            <w:r w:rsidR="00324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D5F" w:rsidRPr="00FE6D5F">
              <w:rPr>
                <w:rFonts w:ascii="Arial" w:hAnsi="Arial" w:cs="Arial"/>
                <w:sz w:val="22"/>
                <w:szCs w:val="22"/>
              </w:rPr>
              <w:t xml:space="preserve">and worked with </w:t>
            </w:r>
            <w:r w:rsidR="00E91CF5">
              <w:rPr>
                <w:rFonts w:ascii="Arial" w:hAnsi="Arial" w:cs="Arial"/>
                <w:sz w:val="22"/>
                <w:szCs w:val="22"/>
              </w:rPr>
              <w:t>local government</w:t>
            </w:r>
            <w:r w:rsidR="00FE6D5F" w:rsidRPr="00FE6D5F">
              <w:rPr>
                <w:rFonts w:ascii="Arial" w:hAnsi="Arial" w:cs="Arial"/>
                <w:sz w:val="22"/>
                <w:szCs w:val="22"/>
              </w:rPr>
              <w:t xml:space="preserve"> to map local services.</w:t>
            </w:r>
            <w:r w:rsidR="00FE6D5F">
              <w:rPr>
                <w:rFonts w:ascii="Arial" w:hAnsi="Arial" w:cs="Arial"/>
                <w:sz w:val="22"/>
                <w:szCs w:val="22"/>
              </w:rPr>
              <w:t xml:space="preserve"> These highlighted local issues and priority populations which were confirmed by the local Management and Advisory Committees.</w:t>
            </w:r>
          </w:p>
          <w:p w14:paraId="2900CA3D" w14:textId="77777777" w:rsidR="0005332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FE6D5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D9D2F08" w14:textId="2134B9BE" w:rsidR="001A77E8" w:rsidRDefault="003F5F6F" w:rsidP="001A77E8">
            <w:pPr>
              <w:jc w:val="both"/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Agreed</w:t>
            </w:r>
            <w:r w:rsidR="00147382">
              <w:rPr>
                <w:rFonts w:ascii="Arial" w:hAnsi="Arial" w:cs="Arial"/>
                <w:sz w:val="22"/>
                <w:szCs w:val="22"/>
              </w:rPr>
              <w:t xml:space="preserve"> health issues include:</w:t>
            </w:r>
            <w:r w:rsidR="001A77E8" w:rsidRPr="00FD4C33">
              <w:rPr>
                <w:rFonts w:ascii="Arial" w:hAnsi="Arial" w:cs="Arial"/>
                <w:sz w:val="22"/>
                <w:szCs w:val="22"/>
              </w:rPr>
              <w:t xml:space="preserve"> mental health, child</w:t>
            </w:r>
            <w:r w:rsidR="00AD55D7">
              <w:rPr>
                <w:rFonts w:ascii="Arial" w:hAnsi="Arial" w:cs="Arial"/>
                <w:sz w:val="22"/>
                <w:szCs w:val="22"/>
              </w:rPr>
              <w:t>, family and women’s’ health</w:t>
            </w:r>
            <w:r w:rsidR="001A77E8" w:rsidRPr="00FD4C33">
              <w:rPr>
                <w:rFonts w:ascii="Arial" w:hAnsi="Arial" w:cs="Arial"/>
                <w:sz w:val="22"/>
                <w:szCs w:val="22"/>
              </w:rPr>
              <w:t>,</w:t>
            </w:r>
            <w:r w:rsidR="001A77E8" w:rsidRPr="00FD4C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77E8" w:rsidRPr="00E91CF5">
              <w:rPr>
                <w:rFonts w:ascii="Arial" w:hAnsi="Arial" w:cs="Arial"/>
                <w:sz w:val="22"/>
                <w:szCs w:val="22"/>
              </w:rPr>
              <w:t xml:space="preserve">behavioural risk factors and refugee health in four communities: Chinese, Bangladeshi, Arabic speaking and Rohingya refugees living in </w:t>
            </w:r>
            <w:proofErr w:type="spellStart"/>
            <w:r w:rsidR="001A77E8" w:rsidRPr="00E91CF5">
              <w:rPr>
                <w:rFonts w:ascii="Arial" w:hAnsi="Arial" w:cs="Arial"/>
                <w:sz w:val="22"/>
                <w:szCs w:val="22"/>
              </w:rPr>
              <w:t>Lakemba</w:t>
            </w:r>
            <w:proofErr w:type="spellEnd"/>
            <w:r w:rsidR="001A77E8" w:rsidRPr="00E91CF5">
              <w:rPr>
                <w:rFonts w:ascii="Arial" w:hAnsi="Arial" w:cs="Arial"/>
                <w:sz w:val="22"/>
                <w:szCs w:val="22"/>
              </w:rPr>
              <w:t xml:space="preserve"> and Wiley Park.</w:t>
            </w:r>
          </w:p>
          <w:p w14:paraId="37A25FB4" w14:textId="21E0C2EC" w:rsidR="007B3F27" w:rsidRDefault="00053326" w:rsidP="00053326">
            <w:pPr>
              <w:rPr>
                <w:rFonts w:ascii="Arial" w:hAnsi="Arial" w:cs="Arial"/>
                <w:sz w:val="22"/>
                <w:szCs w:val="22"/>
              </w:rPr>
            </w:pPr>
            <w:r w:rsidRPr="007B3F27">
              <w:rPr>
                <w:rFonts w:ascii="Arial" w:hAnsi="Arial" w:cs="Arial"/>
                <w:sz w:val="22"/>
                <w:szCs w:val="22"/>
              </w:rPr>
              <w:t xml:space="preserve">The most recent evaluation recommended that </w:t>
            </w:r>
            <w:proofErr w:type="spellStart"/>
            <w:r w:rsidRPr="007B3F27">
              <w:rPr>
                <w:rFonts w:ascii="Arial" w:hAnsi="Arial" w:cs="Arial"/>
                <w:sz w:val="22"/>
                <w:szCs w:val="22"/>
              </w:rPr>
              <w:t>CGH</w:t>
            </w:r>
            <w:r w:rsidR="00851739">
              <w:rPr>
                <w:rFonts w:ascii="Arial" w:hAnsi="Arial" w:cs="Arial"/>
                <w:sz w:val="22"/>
                <w:szCs w:val="22"/>
              </w:rPr>
              <w:t>i</w:t>
            </w:r>
            <w:r w:rsidRPr="007B3F27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3326">
              <w:rPr>
                <w:rFonts w:ascii="Arial" w:hAnsi="Arial" w:cs="Arial"/>
                <w:sz w:val="22"/>
                <w:szCs w:val="22"/>
              </w:rPr>
              <w:t>shift from a community</w:t>
            </w:r>
            <w:r w:rsidR="00851739">
              <w:rPr>
                <w:rFonts w:ascii="Arial" w:hAnsi="Arial" w:cs="Arial"/>
                <w:sz w:val="22"/>
                <w:szCs w:val="22"/>
              </w:rPr>
              <w:t>-</w:t>
            </w:r>
            <w:r w:rsidRPr="00053326">
              <w:rPr>
                <w:rFonts w:ascii="Arial" w:hAnsi="Arial" w:cs="Arial"/>
                <w:sz w:val="22"/>
                <w:szCs w:val="22"/>
              </w:rPr>
              <w:t>informed to community</w:t>
            </w:r>
            <w:r w:rsidR="00851739">
              <w:rPr>
                <w:rFonts w:ascii="Arial" w:hAnsi="Arial" w:cs="Arial"/>
                <w:sz w:val="22"/>
                <w:szCs w:val="22"/>
              </w:rPr>
              <w:t>-</w:t>
            </w:r>
            <w:r w:rsidRPr="00053326">
              <w:rPr>
                <w:rFonts w:ascii="Arial" w:hAnsi="Arial" w:cs="Arial"/>
                <w:sz w:val="22"/>
                <w:szCs w:val="22"/>
              </w:rPr>
              <w:t>led 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D2846">
              <w:rPr>
                <w:rFonts w:ascii="Arial" w:hAnsi="Arial" w:cs="Arial"/>
                <w:sz w:val="22"/>
                <w:szCs w:val="22"/>
              </w:rPr>
              <w:t>In response, we have established the Rohingya Little Local where $10,000 has been allocated to the Burmese Rohingya Communities of Australia (BRCA) to spend according to community priorities. This p</w:t>
            </w:r>
            <w:r w:rsidR="00FF31C1">
              <w:rPr>
                <w:rFonts w:ascii="Arial" w:hAnsi="Arial" w:cs="Arial"/>
                <w:sz w:val="22"/>
                <w:szCs w:val="22"/>
              </w:rPr>
              <w:t>rogram was a</w:t>
            </w:r>
            <w:r>
              <w:rPr>
                <w:rFonts w:ascii="Arial" w:hAnsi="Arial" w:cs="Arial"/>
                <w:sz w:val="22"/>
                <w:szCs w:val="22"/>
              </w:rPr>
              <w:t xml:space="preserve">dapted from </w:t>
            </w:r>
            <w:r w:rsidR="00851739">
              <w:rPr>
                <w:rFonts w:ascii="Arial" w:hAnsi="Arial" w:cs="Arial"/>
                <w:sz w:val="22"/>
                <w:szCs w:val="22"/>
              </w:rPr>
              <w:t>The Big Local in the UK where</w:t>
            </w:r>
            <w:r>
              <w:rPr>
                <w:rFonts w:ascii="Arial" w:hAnsi="Arial" w:cs="Arial"/>
                <w:sz w:val="22"/>
                <w:szCs w:val="22"/>
              </w:rPr>
              <w:t xml:space="preserve"> less advantaged communities are given $100,00</w:t>
            </w:r>
            <w:r w:rsidR="005144BD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a year for 10 years to spend in ways determined by local communities</w:t>
            </w:r>
            <w:r w:rsidR="007B3F2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BA3CC44" w14:textId="77777777" w:rsidR="002864DB" w:rsidRPr="002864DB" w:rsidRDefault="002864DB" w:rsidP="000533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64DB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1EA42E3" w14:textId="286D8775" w:rsidR="00F75B0C" w:rsidRDefault="008C1A92" w:rsidP="000533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CGHiC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provides an effective model for </w:t>
            </w:r>
            <w:r w:rsidR="00661330">
              <w:rPr>
                <w:rFonts w:ascii="Arial" w:hAnsi="Arial" w:cs="Arial"/>
                <w:sz w:val="22"/>
                <w:szCs w:val="22"/>
              </w:rPr>
              <w:t>increasing access to comprehensive primary health care</w:t>
            </w:r>
            <w:r w:rsidR="00D05B5B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1D05FD">
              <w:rPr>
                <w:rFonts w:ascii="Arial" w:hAnsi="Arial" w:cs="Arial"/>
                <w:sz w:val="22"/>
                <w:szCs w:val="22"/>
              </w:rPr>
              <w:t>diverse and marginalised communities</w:t>
            </w:r>
            <w:r w:rsidR="00661330">
              <w:rPr>
                <w:rFonts w:ascii="Arial" w:hAnsi="Arial" w:cs="Arial"/>
                <w:sz w:val="22"/>
                <w:szCs w:val="22"/>
              </w:rPr>
              <w:t xml:space="preserve">. Among its success </w:t>
            </w:r>
            <w:r w:rsidR="00C93345">
              <w:rPr>
                <w:rFonts w:ascii="Arial" w:hAnsi="Arial" w:cs="Arial"/>
                <w:sz w:val="22"/>
                <w:szCs w:val="22"/>
              </w:rPr>
              <w:t xml:space="preserve">is its ability to form enduring and respectful relationships with government and community organisations. </w:t>
            </w:r>
            <w:r w:rsidR="007B3F27">
              <w:rPr>
                <w:rFonts w:ascii="Arial" w:hAnsi="Arial" w:cs="Arial"/>
                <w:sz w:val="22"/>
                <w:szCs w:val="22"/>
              </w:rPr>
              <w:t xml:space="preserve">Despite </w:t>
            </w:r>
            <w:r w:rsidR="0070303C">
              <w:rPr>
                <w:rFonts w:ascii="Arial" w:hAnsi="Arial" w:cs="Arial"/>
                <w:sz w:val="22"/>
                <w:szCs w:val="22"/>
              </w:rPr>
              <w:t>its a</w:t>
            </w:r>
            <w:r w:rsidR="007B3F27">
              <w:rPr>
                <w:rFonts w:ascii="Arial" w:hAnsi="Arial" w:cs="Arial"/>
                <w:sz w:val="22"/>
                <w:szCs w:val="22"/>
              </w:rPr>
              <w:t>chievements</w:t>
            </w:r>
            <w:r w:rsidR="0070303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0303C">
              <w:rPr>
                <w:rFonts w:ascii="Arial" w:hAnsi="Arial" w:cs="Arial"/>
                <w:sz w:val="22"/>
                <w:szCs w:val="22"/>
              </w:rPr>
              <w:t>CGHiC</w:t>
            </w:r>
            <w:proofErr w:type="spellEnd"/>
            <w:r w:rsidR="007B3F27">
              <w:rPr>
                <w:rFonts w:ascii="Arial" w:hAnsi="Arial" w:cs="Arial"/>
                <w:sz w:val="22"/>
                <w:szCs w:val="22"/>
              </w:rPr>
              <w:t xml:space="preserve"> has faced many challenges </w:t>
            </w:r>
            <w:r w:rsidR="00F75B0C">
              <w:rPr>
                <w:rFonts w:ascii="Arial" w:hAnsi="Arial" w:cs="Arial"/>
                <w:sz w:val="22"/>
                <w:szCs w:val="22"/>
              </w:rPr>
              <w:t>including hig</w:t>
            </w:r>
            <w:r w:rsidR="00C34516">
              <w:rPr>
                <w:rFonts w:ascii="Arial" w:hAnsi="Arial" w:cs="Arial"/>
                <w:sz w:val="22"/>
                <w:szCs w:val="22"/>
              </w:rPr>
              <w:t>h</w:t>
            </w:r>
            <w:r w:rsidR="00F75B0C">
              <w:rPr>
                <w:rFonts w:ascii="Arial" w:hAnsi="Arial" w:cs="Arial"/>
                <w:sz w:val="22"/>
                <w:szCs w:val="22"/>
              </w:rPr>
              <w:t xml:space="preserve"> staff turnover, </w:t>
            </w:r>
            <w:r w:rsidR="0062317D">
              <w:rPr>
                <w:rFonts w:ascii="Arial" w:hAnsi="Arial" w:cs="Arial"/>
                <w:sz w:val="22"/>
                <w:szCs w:val="22"/>
              </w:rPr>
              <w:t>insecure funding</w:t>
            </w:r>
            <w:r w:rsidR="00F75B0C">
              <w:rPr>
                <w:rFonts w:ascii="Arial" w:hAnsi="Arial" w:cs="Arial"/>
                <w:sz w:val="22"/>
                <w:szCs w:val="22"/>
              </w:rPr>
              <w:t>, the demise of one of the partner organisations and the establishment of its successor, moving from one off projects to programs of work and robust evaluation of impacts.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282D5971" w:rsidR="00DA7A71" w:rsidRPr="00DA7A71" w:rsidRDefault="0095261C" w:rsidP="0095261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261C">
              <w:rPr>
                <w:rFonts w:ascii="Arial" w:hAnsi="Arial" w:cs="Arial"/>
                <w:sz w:val="22"/>
                <w:szCs w:val="22"/>
              </w:rPr>
              <w:t>health equity; place-based initiatives;</w:t>
            </w:r>
            <w:r w:rsidR="00CB7F0B">
              <w:rPr>
                <w:rFonts w:ascii="Arial" w:hAnsi="Arial" w:cs="Arial"/>
                <w:sz w:val="22"/>
                <w:szCs w:val="22"/>
              </w:rPr>
              <w:t xml:space="preserve"> effective</w:t>
            </w:r>
            <w:r w:rsidR="00BD2846">
              <w:rPr>
                <w:rFonts w:ascii="Arial" w:hAnsi="Arial" w:cs="Arial"/>
                <w:sz w:val="22"/>
                <w:szCs w:val="22"/>
              </w:rPr>
              <w:t>, accountable inclusive governance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109D"/>
    <w:multiLevelType w:val="hybridMultilevel"/>
    <w:tmpl w:val="1602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32BA"/>
    <w:multiLevelType w:val="hybridMultilevel"/>
    <w:tmpl w:val="9A4829A4"/>
    <w:lvl w:ilvl="0" w:tplc="80AA5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95906"/>
    <w:multiLevelType w:val="multilevel"/>
    <w:tmpl w:val="13E82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523D1A"/>
    <w:multiLevelType w:val="hybridMultilevel"/>
    <w:tmpl w:val="51A6B03A"/>
    <w:lvl w:ilvl="0" w:tplc="80AA5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324F"/>
    <w:rsid w:val="00026E39"/>
    <w:rsid w:val="0003525D"/>
    <w:rsid w:val="00053326"/>
    <w:rsid w:val="00057302"/>
    <w:rsid w:val="00077988"/>
    <w:rsid w:val="0008349E"/>
    <w:rsid w:val="000A037B"/>
    <w:rsid w:val="000C05CE"/>
    <w:rsid w:val="00131D1E"/>
    <w:rsid w:val="00147382"/>
    <w:rsid w:val="0018463E"/>
    <w:rsid w:val="001A1B20"/>
    <w:rsid w:val="001A77E8"/>
    <w:rsid w:val="001C3A37"/>
    <w:rsid w:val="001D05FD"/>
    <w:rsid w:val="00211765"/>
    <w:rsid w:val="00230B21"/>
    <w:rsid w:val="00234EAA"/>
    <w:rsid w:val="00242808"/>
    <w:rsid w:val="0025725D"/>
    <w:rsid w:val="002864DB"/>
    <w:rsid w:val="00294265"/>
    <w:rsid w:val="002B7FC8"/>
    <w:rsid w:val="002F34DB"/>
    <w:rsid w:val="00317FFE"/>
    <w:rsid w:val="00321C56"/>
    <w:rsid w:val="00324276"/>
    <w:rsid w:val="00363AF7"/>
    <w:rsid w:val="003A6236"/>
    <w:rsid w:val="003B15A7"/>
    <w:rsid w:val="003F596D"/>
    <w:rsid w:val="003F5F6F"/>
    <w:rsid w:val="00426DA0"/>
    <w:rsid w:val="00466729"/>
    <w:rsid w:val="00490208"/>
    <w:rsid w:val="004A5535"/>
    <w:rsid w:val="004B5B95"/>
    <w:rsid w:val="004B7D91"/>
    <w:rsid w:val="004C45A1"/>
    <w:rsid w:val="004E345D"/>
    <w:rsid w:val="005144BD"/>
    <w:rsid w:val="0052280B"/>
    <w:rsid w:val="00555B9D"/>
    <w:rsid w:val="00564331"/>
    <w:rsid w:val="00565BAA"/>
    <w:rsid w:val="00590824"/>
    <w:rsid w:val="00593FF4"/>
    <w:rsid w:val="005F7DC7"/>
    <w:rsid w:val="0062317D"/>
    <w:rsid w:val="00651B76"/>
    <w:rsid w:val="006605DB"/>
    <w:rsid w:val="00660759"/>
    <w:rsid w:val="00661330"/>
    <w:rsid w:val="00663BFF"/>
    <w:rsid w:val="00682AF4"/>
    <w:rsid w:val="006B2457"/>
    <w:rsid w:val="006C6E32"/>
    <w:rsid w:val="0070252B"/>
    <w:rsid w:val="0070303C"/>
    <w:rsid w:val="00714C46"/>
    <w:rsid w:val="00762F7A"/>
    <w:rsid w:val="0079623D"/>
    <w:rsid w:val="007A2A9C"/>
    <w:rsid w:val="007B3F27"/>
    <w:rsid w:val="007B5F12"/>
    <w:rsid w:val="007C5918"/>
    <w:rsid w:val="007D5CFC"/>
    <w:rsid w:val="007E61BA"/>
    <w:rsid w:val="008102FD"/>
    <w:rsid w:val="0082392D"/>
    <w:rsid w:val="00836B1B"/>
    <w:rsid w:val="00851739"/>
    <w:rsid w:val="008874BF"/>
    <w:rsid w:val="008C05AC"/>
    <w:rsid w:val="008C05C1"/>
    <w:rsid w:val="008C1A92"/>
    <w:rsid w:val="00932377"/>
    <w:rsid w:val="0095261C"/>
    <w:rsid w:val="009579B1"/>
    <w:rsid w:val="009817F6"/>
    <w:rsid w:val="009B7881"/>
    <w:rsid w:val="00A107A4"/>
    <w:rsid w:val="00A112C8"/>
    <w:rsid w:val="00A1780F"/>
    <w:rsid w:val="00A9722E"/>
    <w:rsid w:val="00AA1598"/>
    <w:rsid w:val="00AA5B46"/>
    <w:rsid w:val="00AB42C9"/>
    <w:rsid w:val="00AD55D7"/>
    <w:rsid w:val="00B12CD1"/>
    <w:rsid w:val="00B16047"/>
    <w:rsid w:val="00B20967"/>
    <w:rsid w:val="00B57E4C"/>
    <w:rsid w:val="00B766BF"/>
    <w:rsid w:val="00BC3C7B"/>
    <w:rsid w:val="00BC5CBE"/>
    <w:rsid w:val="00BD2846"/>
    <w:rsid w:val="00C211D2"/>
    <w:rsid w:val="00C34516"/>
    <w:rsid w:val="00C64507"/>
    <w:rsid w:val="00C64862"/>
    <w:rsid w:val="00C73E89"/>
    <w:rsid w:val="00C84789"/>
    <w:rsid w:val="00C93345"/>
    <w:rsid w:val="00C978A6"/>
    <w:rsid w:val="00CA0DE6"/>
    <w:rsid w:val="00CB2597"/>
    <w:rsid w:val="00CB7F0B"/>
    <w:rsid w:val="00CC5CF2"/>
    <w:rsid w:val="00CD0335"/>
    <w:rsid w:val="00CE496D"/>
    <w:rsid w:val="00CE5D57"/>
    <w:rsid w:val="00D05B5B"/>
    <w:rsid w:val="00D2596C"/>
    <w:rsid w:val="00D71EFE"/>
    <w:rsid w:val="00D82626"/>
    <w:rsid w:val="00D8346C"/>
    <w:rsid w:val="00DA45EE"/>
    <w:rsid w:val="00DA7A71"/>
    <w:rsid w:val="00DC2C64"/>
    <w:rsid w:val="00DE6D44"/>
    <w:rsid w:val="00E0479B"/>
    <w:rsid w:val="00E36AD7"/>
    <w:rsid w:val="00E379B4"/>
    <w:rsid w:val="00E40880"/>
    <w:rsid w:val="00E458B1"/>
    <w:rsid w:val="00E91CF5"/>
    <w:rsid w:val="00ED369F"/>
    <w:rsid w:val="00F14A89"/>
    <w:rsid w:val="00F16B61"/>
    <w:rsid w:val="00F407AD"/>
    <w:rsid w:val="00F75B0C"/>
    <w:rsid w:val="00F81DEC"/>
    <w:rsid w:val="00F86A0C"/>
    <w:rsid w:val="00FB626D"/>
    <w:rsid w:val="00FC445C"/>
    <w:rsid w:val="00FD4C33"/>
    <w:rsid w:val="00FE6D5F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83A56678-2FD2-49D1-839B-ABC8C445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B160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604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6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604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B16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6047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1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0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0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6375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56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4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76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52077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91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81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877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715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6911e96c-4cc4-42d5-8e43-f93924cf6a05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3BAE89-0CF2-44E9-92AA-C475A4AC3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2018-09-18T03:29:00Z</dcterms:created>
  <dcterms:modified xsi:type="dcterms:W3CDTF">2018-09-18T03:29:00Z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