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02"/>
      </w:tblGrid>
      <w:tr w:rsidR="00222D77" w:rsidRPr="000F25AB" w14:paraId="5C38377B" w14:textId="3D90C0C2" w:rsidTr="00222D77">
        <w:trPr>
          <w:trHeight w:val="841"/>
          <w:jc w:val="center"/>
        </w:trPr>
        <w:tc>
          <w:tcPr>
            <w:tcW w:w="8602" w:type="dxa"/>
            <w:shd w:val="clear" w:color="auto" w:fill="auto"/>
          </w:tcPr>
          <w:p w14:paraId="5C44F357" w14:textId="6F277DE8" w:rsidR="00222D77" w:rsidRPr="000F25AB" w:rsidRDefault="00D61110" w:rsidP="00EB1EAA">
            <w:pPr>
              <w:spacing w:line="288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F25A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Is Catheter Directed Thrombolysis safe and effective when initial therapy for Pulmonary Embolism fails? Outcomes from use of </w:t>
            </w:r>
            <w:r w:rsidR="00615322" w:rsidRPr="000F25A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Catheter Directed Thrombolysis</w:t>
            </w:r>
            <w:r w:rsidRPr="000F25A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for rescue reperfusion.</w:t>
            </w:r>
          </w:p>
        </w:tc>
      </w:tr>
      <w:tr w:rsidR="00222D77" w:rsidRPr="000F25AB" w14:paraId="0E2E035C" w14:textId="272CCC50" w:rsidTr="00222D77">
        <w:trPr>
          <w:trHeight w:val="685"/>
          <w:jc w:val="center"/>
        </w:trPr>
        <w:tc>
          <w:tcPr>
            <w:tcW w:w="8602" w:type="dxa"/>
            <w:shd w:val="clear" w:color="auto" w:fill="auto"/>
          </w:tcPr>
          <w:p w14:paraId="73B55295" w14:textId="41940E89" w:rsidR="00222D77" w:rsidRPr="000F25AB" w:rsidRDefault="00222D77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bookmarkStart w:id="0" w:name="Text8"/>
            <w:proofErr w:type="spellStart"/>
            <w:r w:rsidRPr="000F25AB">
              <w:rPr>
                <w:rFonts w:ascii="Arial" w:hAnsi="Arial" w:cs="Arial"/>
                <w:sz w:val="22"/>
                <w:szCs w:val="22"/>
                <w:lang w:val="en-US" w:eastAsia="en-GB"/>
              </w:rPr>
              <w:t>Brydie</w:t>
            </w:r>
            <w:proofErr w:type="spellEnd"/>
            <w:r w:rsidRPr="000F25AB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Egan</w:t>
            </w:r>
            <w:r w:rsidR="006E4D67" w:rsidRPr="000F25AB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0F25AB">
              <w:rPr>
                <w:rFonts w:ascii="Arial" w:hAnsi="Arial" w:cs="Arial"/>
                <w:sz w:val="22"/>
                <w:szCs w:val="22"/>
                <w:lang w:val="en-US" w:eastAsia="en-GB"/>
              </w:rPr>
              <w:t>, Alexander Brennan</w:t>
            </w:r>
            <w:r w:rsidRPr="000F25AB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0F25AB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bookmarkEnd w:id="0"/>
            <w:r w:rsidRPr="000F25AB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Jin-Gun Cho</w:t>
            </w:r>
            <w:r w:rsidRPr="000F25AB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1,2</w:t>
            </w:r>
            <w:r w:rsidRPr="000F25AB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proofErr w:type="spellStart"/>
            <w:r w:rsidR="00DF0FA4" w:rsidRPr="000F25AB">
              <w:rPr>
                <w:rFonts w:ascii="Arial" w:hAnsi="Arial" w:cs="Arial"/>
                <w:sz w:val="22"/>
                <w:szCs w:val="22"/>
                <w:lang w:val="en-US" w:eastAsia="en-GB"/>
              </w:rPr>
              <w:t>Dhwani</w:t>
            </w:r>
            <w:proofErr w:type="spellEnd"/>
            <w:r w:rsidR="00DF0FA4" w:rsidRPr="000F25AB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Manoj Gohel</w:t>
            </w:r>
            <w:r w:rsidR="00DF0FA4" w:rsidRPr="000F25AB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DF0FA4" w:rsidRPr="000F25AB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Sai </w:t>
            </w:r>
            <w:proofErr w:type="spellStart"/>
            <w:r w:rsidR="00DF0FA4" w:rsidRPr="000F25AB">
              <w:rPr>
                <w:rFonts w:ascii="Arial" w:hAnsi="Arial" w:cs="Arial"/>
                <w:sz w:val="22"/>
                <w:szCs w:val="22"/>
                <w:lang w:val="en-US" w:eastAsia="en-GB"/>
              </w:rPr>
              <w:t>Prakesh</w:t>
            </w:r>
            <w:proofErr w:type="spellEnd"/>
            <w:r w:rsidR="00DF0FA4" w:rsidRPr="000F25AB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Vaheisvaran</w:t>
            </w:r>
            <w:r w:rsidR="00DF0FA4" w:rsidRPr="000F25AB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DF0FA4" w:rsidRPr="000F25AB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proofErr w:type="spellStart"/>
            <w:r w:rsidR="00DF0FA4" w:rsidRPr="000F25AB">
              <w:rPr>
                <w:rFonts w:ascii="Arial" w:hAnsi="Arial" w:cs="Arial"/>
                <w:sz w:val="22"/>
                <w:szCs w:val="22"/>
                <w:lang w:val="en-US" w:eastAsia="en-GB"/>
              </w:rPr>
              <w:t>Athiththa</w:t>
            </w:r>
            <w:proofErr w:type="spellEnd"/>
            <w:r w:rsidR="00DF0FA4" w:rsidRPr="000F25AB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Satchithanandha</w:t>
            </w:r>
            <w:r w:rsidR="00DF0FA4" w:rsidRPr="000F25AB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DF0FA4" w:rsidRPr="000F25AB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 w:rsidRPr="000F25AB">
              <w:rPr>
                <w:rFonts w:ascii="Arial" w:hAnsi="Arial" w:cs="Arial"/>
                <w:sz w:val="22"/>
                <w:szCs w:val="22"/>
                <w:lang w:val="en-US" w:eastAsia="en-GB"/>
              </w:rPr>
              <w:t>Jimmy Chien</w:t>
            </w:r>
            <w:r w:rsidRPr="000F25AB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1,2</w:t>
            </w:r>
          </w:p>
        </w:tc>
      </w:tr>
      <w:tr w:rsidR="00222D77" w:rsidRPr="000F25AB" w14:paraId="385A19D9" w14:textId="2BD8588F" w:rsidTr="00222D77">
        <w:trPr>
          <w:trHeight w:val="1274"/>
          <w:jc w:val="center"/>
        </w:trPr>
        <w:tc>
          <w:tcPr>
            <w:tcW w:w="8602" w:type="dxa"/>
            <w:shd w:val="clear" w:color="auto" w:fill="auto"/>
          </w:tcPr>
          <w:p w14:paraId="2B7A4AB6" w14:textId="6648F76C" w:rsidR="00222D77" w:rsidRPr="000F25AB" w:rsidRDefault="00222D77" w:rsidP="00EB1EAA">
            <w:pPr>
              <w:rPr>
                <w:rFonts w:ascii="Arial" w:hAnsi="Arial" w:cs="Arial"/>
                <w:i/>
                <w:sz w:val="22"/>
                <w:szCs w:val="22"/>
                <w:lang w:val="en-NZ" w:eastAsia="en-NZ"/>
              </w:rPr>
            </w:pPr>
            <w:r w:rsidRPr="000F25AB">
              <w:rPr>
                <w:rFonts w:ascii="Arial" w:hAnsi="Arial" w:cs="Arial"/>
                <w:i/>
                <w:sz w:val="22"/>
                <w:szCs w:val="22"/>
                <w:vertAlign w:val="superscript"/>
                <w:lang w:val="en-NZ" w:eastAsia="en-NZ"/>
              </w:rPr>
              <w:t>1</w:t>
            </w:r>
            <w:r w:rsidRPr="000F25AB">
              <w:rPr>
                <w:rFonts w:ascii="Arial" w:hAnsi="Arial" w:cs="Arial"/>
                <w:i/>
                <w:sz w:val="22"/>
                <w:szCs w:val="22"/>
                <w:lang w:val="en-NZ" w:eastAsia="en-NZ"/>
              </w:rPr>
              <w:t>Department of Respiratory and Sleep Medicine, Westmead Hospital, NSW, Australia.</w:t>
            </w:r>
          </w:p>
          <w:p w14:paraId="45ED36BF" w14:textId="26C401D3" w:rsidR="00222D77" w:rsidRPr="000F25AB" w:rsidRDefault="00222D77" w:rsidP="00AE1DAF">
            <w:pP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0F25AB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AE1DAF" w:rsidRPr="000F25AB">
              <w:rPr>
                <w:rFonts w:ascii="Arial" w:hAnsi="Arial" w:cs="Arial"/>
                <w:i/>
                <w:sz w:val="22"/>
                <w:szCs w:val="22"/>
                <w:lang w:val="en-NZ" w:eastAsia="en-NZ"/>
              </w:rPr>
              <w:t>University of Sydney, NSW, Australia.</w:t>
            </w:r>
          </w:p>
        </w:tc>
      </w:tr>
      <w:tr w:rsidR="00222D77" w:rsidRPr="000F25AB" w14:paraId="6DAF615A" w14:textId="5601B379" w:rsidTr="00222D77">
        <w:trPr>
          <w:trHeight w:hRule="exact" w:val="10247"/>
          <w:jc w:val="center"/>
        </w:trPr>
        <w:tc>
          <w:tcPr>
            <w:tcW w:w="8602" w:type="dxa"/>
            <w:shd w:val="clear" w:color="auto" w:fill="auto"/>
          </w:tcPr>
          <w:p w14:paraId="739E7937" w14:textId="04B50162" w:rsidR="00222D77" w:rsidRPr="000F25AB" w:rsidRDefault="00222D77" w:rsidP="000A28E2">
            <w:pPr>
              <w:pStyle w:val="Pa12"/>
              <w:rPr>
                <w:rStyle w:val="A4"/>
                <w:b/>
                <w:bCs/>
              </w:rPr>
            </w:pPr>
            <w:r w:rsidRPr="000F25AB">
              <w:rPr>
                <w:rStyle w:val="A4"/>
                <w:b/>
                <w:bCs/>
              </w:rPr>
              <w:t xml:space="preserve">Introduction: </w:t>
            </w:r>
          </w:p>
          <w:p w14:paraId="536EBD6D" w14:textId="1D3A470A" w:rsidR="00CE6AE6" w:rsidRPr="000F25AB" w:rsidRDefault="00222D77" w:rsidP="00F11518">
            <w:pPr>
              <w:pStyle w:val="Default"/>
              <w:rPr>
                <w:sz w:val="22"/>
                <w:szCs w:val="22"/>
              </w:rPr>
            </w:pPr>
            <w:r w:rsidRPr="000F25AB">
              <w:rPr>
                <w:sz w:val="22"/>
                <w:szCs w:val="22"/>
                <w:lang w:val="en-AU" w:eastAsia="en-GB"/>
              </w:rPr>
              <w:t xml:space="preserve">Initial treatment either with </w:t>
            </w:r>
            <w:r w:rsidR="007677D0" w:rsidRPr="000F25AB">
              <w:rPr>
                <w:sz w:val="22"/>
                <w:szCs w:val="22"/>
                <w:lang w:val="en-AU" w:eastAsia="en-GB"/>
              </w:rPr>
              <w:t>anticoagulation</w:t>
            </w:r>
            <w:r w:rsidRPr="000F25AB">
              <w:rPr>
                <w:sz w:val="22"/>
                <w:szCs w:val="22"/>
                <w:lang w:val="en-AU" w:eastAsia="en-GB"/>
              </w:rPr>
              <w:t xml:space="preserve"> alone or in conjunction with systemic thrombolysis may be unsuccessful in intermediate</w:t>
            </w:r>
            <w:r w:rsidR="00CE6AE6" w:rsidRPr="000F25AB">
              <w:rPr>
                <w:sz w:val="22"/>
                <w:szCs w:val="22"/>
                <w:lang w:val="en-AU" w:eastAsia="en-GB"/>
              </w:rPr>
              <w:t>/</w:t>
            </w:r>
            <w:r w:rsidR="00D61110" w:rsidRPr="000F25AB">
              <w:rPr>
                <w:sz w:val="22"/>
                <w:szCs w:val="22"/>
                <w:lang w:val="en-AU" w:eastAsia="en-GB"/>
              </w:rPr>
              <w:t>high</w:t>
            </w:r>
            <w:r w:rsidR="00CE6AE6" w:rsidRPr="000F25AB">
              <w:rPr>
                <w:sz w:val="22"/>
                <w:szCs w:val="22"/>
                <w:lang w:val="en-AU" w:eastAsia="en-GB"/>
              </w:rPr>
              <w:t>-</w:t>
            </w:r>
            <w:r w:rsidR="00D61110" w:rsidRPr="000F25AB">
              <w:rPr>
                <w:sz w:val="22"/>
                <w:szCs w:val="22"/>
                <w:lang w:val="en-AU" w:eastAsia="en-GB"/>
              </w:rPr>
              <w:t>risk</w:t>
            </w:r>
            <w:r w:rsidR="00CE6AE6" w:rsidRPr="000F25AB">
              <w:rPr>
                <w:sz w:val="22"/>
                <w:szCs w:val="22"/>
                <w:lang w:val="en-AU" w:eastAsia="en-GB"/>
              </w:rPr>
              <w:t xml:space="preserve"> </w:t>
            </w:r>
            <w:r w:rsidRPr="000F25AB">
              <w:rPr>
                <w:sz w:val="22"/>
                <w:szCs w:val="22"/>
                <w:lang w:val="en-AU" w:eastAsia="en-GB"/>
              </w:rPr>
              <w:t>or high</w:t>
            </w:r>
            <w:r w:rsidR="006E4D67" w:rsidRPr="000F25AB">
              <w:rPr>
                <w:sz w:val="22"/>
                <w:szCs w:val="22"/>
                <w:lang w:val="en-AU" w:eastAsia="en-GB"/>
              </w:rPr>
              <w:t>-</w:t>
            </w:r>
            <w:r w:rsidRPr="000F25AB">
              <w:rPr>
                <w:sz w:val="22"/>
                <w:szCs w:val="22"/>
                <w:lang w:val="en-AU" w:eastAsia="en-GB"/>
              </w:rPr>
              <w:t xml:space="preserve">risk pulmonary embolism (PE). </w:t>
            </w:r>
            <w:r w:rsidR="007677D0" w:rsidRPr="000F25AB">
              <w:rPr>
                <w:sz w:val="22"/>
                <w:szCs w:val="22"/>
                <w:lang w:val="en-AU" w:eastAsia="en-GB"/>
              </w:rPr>
              <w:t>L</w:t>
            </w:r>
            <w:r w:rsidRPr="000F25AB">
              <w:rPr>
                <w:sz w:val="22"/>
                <w:szCs w:val="22"/>
                <w:lang w:val="en-AU" w:eastAsia="en-GB"/>
              </w:rPr>
              <w:t xml:space="preserve">imited </w:t>
            </w:r>
            <w:r w:rsidR="007677D0" w:rsidRPr="000F25AB">
              <w:rPr>
                <w:sz w:val="22"/>
                <w:szCs w:val="22"/>
                <w:lang w:val="en-AU" w:eastAsia="en-GB"/>
              </w:rPr>
              <w:t>evidence</w:t>
            </w:r>
            <w:r w:rsidRPr="000F25AB">
              <w:rPr>
                <w:sz w:val="22"/>
                <w:szCs w:val="22"/>
                <w:lang w:val="en-AU" w:eastAsia="en-GB"/>
              </w:rPr>
              <w:t xml:space="preserve"> </w:t>
            </w:r>
            <w:r w:rsidR="007677D0" w:rsidRPr="000F25AB">
              <w:rPr>
                <w:sz w:val="22"/>
                <w:szCs w:val="22"/>
                <w:lang w:val="en-AU" w:eastAsia="en-GB"/>
              </w:rPr>
              <w:t xml:space="preserve">exists </w:t>
            </w:r>
            <w:r w:rsidRPr="000F25AB">
              <w:rPr>
                <w:sz w:val="22"/>
                <w:szCs w:val="22"/>
                <w:lang w:val="en-AU" w:eastAsia="en-GB"/>
              </w:rPr>
              <w:t>regarding the role of catheter-directed treatment (CDT) as rescue reperfusion therapy (RRT) following failed initial therapy with anticoagulation</w:t>
            </w:r>
            <w:r w:rsidR="00D23B51" w:rsidRPr="000F25AB">
              <w:rPr>
                <w:sz w:val="22"/>
                <w:szCs w:val="22"/>
              </w:rPr>
              <w:t>±</w:t>
            </w:r>
            <w:r w:rsidRPr="000F25AB">
              <w:rPr>
                <w:sz w:val="22"/>
                <w:szCs w:val="22"/>
                <w:lang w:val="en-AU" w:eastAsia="en-GB"/>
              </w:rPr>
              <w:t xml:space="preserve">systemic thrombolysis. </w:t>
            </w:r>
            <w:r w:rsidR="00D61110" w:rsidRPr="000F25AB">
              <w:rPr>
                <w:sz w:val="22"/>
                <w:szCs w:val="22"/>
                <w:lang w:val="en-AU" w:eastAsia="en-GB"/>
              </w:rPr>
              <w:t>The Westmead Hospital Pulmonary Embolism Response Team (PERT) has utilised CDT</w:t>
            </w:r>
            <w:r w:rsidR="001A46C1" w:rsidRPr="000F25AB">
              <w:rPr>
                <w:sz w:val="22"/>
                <w:szCs w:val="22"/>
                <w:lang w:val="en-AU" w:eastAsia="en-GB"/>
              </w:rPr>
              <w:t xml:space="preserve"> as RRT</w:t>
            </w:r>
            <w:r w:rsidR="00D61110" w:rsidRPr="000F25AB">
              <w:rPr>
                <w:sz w:val="22"/>
                <w:szCs w:val="22"/>
                <w:lang w:val="en-AU" w:eastAsia="en-GB"/>
              </w:rPr>
              <w:t xml:space="preserve"> </w:t>
            </w:r>
            <w:r w:rsidR="001A46C1" w:rsidRPr="000F25AB">
              <w:rPr>
                <w:sz w:val="22"/>
                <w:szCs w:val="22"/>
                <w:lang w:val="en-AU" w:eastAsia="en-GB"/>
              </w:rPr>
              <w:t>for</w:t>
            </w:r>
            <w:r w:rsidR="00D61110" w:rsidRPr="000F25AB">
              <w:rPr>
                <w:sz w:val="22"/>
                <w:szCs w:val="22"/>
                <w:lang w:val="en-AU" w:eastAsia="en-GB"/>
              </w:rPr>
              <w:t xml:space="preserve"> clinical d</w:t>
            </w:r>
            <w:r w:rsidR="001A46C1" w:rsidRPr="000F25AB">
              <w:rPr>
                <w:sz w:val="22"/>
                <w:szCs w:val="22"/>
                <w:lang w:val="en-AU" w:eastAsia="en-GB"/>
              </w:rPr>
              <w:t xml:space="preserve">eterioration as defined by </w:t>
            </w:r>
            <w:r w:rsidR="001A46C1" w:rsidRPr="000F25AB">
              <w:rPr>
                <w:sz w:val="22"/>
                <w:szCs w:val="22"/>
              </w:rPr>
              <w:t xml:space="preserve">decline in </w:t>
            </w:r>
            <w:r w:rsidR="001A46C1" w:rsidRPr="000F25AB">
              <w:rPr>
                <w:sz w:val="22"/>
                <w:szCs w:val="22"/>
                <w:lang w:val="en-AU" w:eastAsia="en-GB"/>
              </w:rPr>
              <w:t xml:space="preserve">vital signs, severity of </w:t>
            </w:r>
            <w:r w:rsidR="00CE6AE6" w:rsidRPr="000F25AB">
              <w:rPr>
                <w:sz w:val="22"/>
                <w:szCs w:val="22"/>
                <w:lang w:val="en-AU" w:eastAsia="en-GB"/>
              </w:rPr>
              <w:t>right ventricular (</w:t>
            </w:r>
            <w:r w:rsidR="001A46C1" w:rsidRPr="000F25AB">
              <w:rPr>
                <w:sz w:val="22"/>
                <w:szCs w:val="22"/>
                <w:lang w:val="en-AU" w:eastAsia="en-GB"/>
              </w:rPr>
              <w:t>RV</w:t>
            </w:r>
            <w:r w:rsidR="00CE6AE6" w:rsidRPr="000F25AB">
              <w:rPr>
                <w:sz w:val="22"/>
                <w:szCs w:val="22"/>
                <w:lang w:val="en-AU" w:eastAsia="en-GB"/>
              </w:rPr>
              <w:t>)</w:t>
            </w:r>
            <w:r w:rsidR="001A46C1" w:rsidRPr="000F25AB">
              <w:rPr>
                <w:sz w:val="22"/>
                <w:szCs w:val="22"/>
                <w:lang w:val="en-AU" w:eastAsia="en-GB"/>
              </w:rPr>
              <w:t xml:space="preserve"> dysfunction, tissue perfusion, and gas </w:t>
            </w:r>
            <w:proofErr w:type="spellStart"/>
            <w:r w:rsidR="001A46C1" w:rsidRPr="000F25AB">
              <w:rPr>
                <w:sz w:val="22"/>
                <w:szCs w:val="22"/>
                <w:lang w:val="en-AU" w:eastAsia="en-GB"/>
              </w:rPr>
              <w:t>exchang</w:t>
            </w:r>
            <w:proofErr w:type="spellEnd"/>
            <w:r w:rsidR="001A46C1" w:rsidRPr="000F25AB">
              <w:rPr>
                <w:sz w:val="22"/>
                <w:szCs w:val="22"/>
              </w:rPr>
              <w:t>e.</w:t>
            </w:r>
          </w:p>
          <w:p w14:paraId="3A91E865" w14:textId="77777777" w:rsidR="00222D77" w:rsidRPr="000F25AB" w:rsidRDefault="00222D77" w:rsidP="005F5B6C">
            <w:pPr>
              <w:pStyle w:val="Pa12"/>
              <w:jc w:val="both"/>
              <w:rPr>
                <w:b/>
                <w:bCs/>
                <w:sz w:val="22"/>
                <w:szCs w:val="22"/>
              </w:rPr>
            </w:pPr>
          </w:p>
          <w:p w14:paraId="2251F6D5" w14:textId="0AFD82DC" w:rsidR="00222D77" w:rsidRPr="000F25AB" w:rsidRDefault="00222D77" w:rsidP="005F5B6C">
            <w:pPr>
              <w:pStyle w:val="Pa12"/>
              <w:jc w:val="both"/>
              <w:rPr>
                <w:b/>
                <w:bCs/>
                <w:sz w:val="22"/>
                <w:szCs w:val="22"/>
              </w:rPr>
            </w:pPr>
            <w:r w:rsidRPr="000F25AB">
              <w:rPr>
                <w:b/>
                <w:bCs/>
                <w:sz w:val="22"/>
                <w:szCs w:val="22"/>
              </w:rPr>
              <w:t>Aim:</w:t>
            </w:r>
          </w:p>
          <w:p w14:paraId="2C90F7E8" w14:textId="5FC40FB7" w:rsidR="00222D77" w:rsidRPr="000F25AB" w:rsidRDefault="00222D77" w:rsidP="005F5B6C">
            <w:pPr>
              <w:pStyle w:val="Default"/>
              <w:jc w:val="both"/>
              <w:rPr>
                <w:sz w:val="22"/>
                <w:szCs w:val="22"/>
              </w:rPr>
            </w:pPr>
            <w:r w:rsidRPr="000F25AB">
              <w:rPr>
                <w:sz w:val="22"/>
                <w:szCs w:val="22"/>
              </w:rPr>
              <w:t>To review clinical characteristics and outcomes of RRT instituted via the PERT model in patients with unsuccessful initial treatment</w:t>
            </w:r>
            <w:r w:rsidR="001A46C1" w:rsidRPr="000F25AB">
              <w:rPr>
                <w:sz w:val="22"/>
                <w:szCs w:val="22"/>
              </w:rPr>
              <w:t>.</w:t>
            </w:r>
          </w:p>
          <w:p w14:paraId="5B683678" w14:textId="77777777" w:rsidR="00222D77" w:rsidRPr="000F25AB" w:rsidRDefault="00222D77" w:rsidP="005F5B6C">
            <w:pPr>
              <w:pStyle w:val="Default"/>
              <w:jc w:val="both"/>
              <w:rPr>
                <w:sz w:val="22"/>
                <w:szCs w:val="22"/>
                <w:lang w:val="en-GB"/>
              </w:rPr>
            </w:pPr>
          </w:p>
          <w:p w14:paraId="5029BAE6" w14:textId="4A5C0FEA" w:rsidR="00222D77" w:rsidRPr="000F25AB" w:rsidRDefault="00222D77" w:rsidP="005F5B6C">
            <w:pPr>
              <w:pStyle w:val="Pa12"/>
              <w:jc w:val="both"/>
              <w:rPr>
                <w:rStyle w:val="A4"/>
                <w:b/>
                <w:bCs/>
              </w:rPr>
            </w:pPr>
            <w:r w:rsidRPr="000F25AB">
              <w:rPr>
                <w:rStyle w:val="A4"/>
                <w:b/>
                <w:bCs/>
              </w:rPr>
              <w:t xml:space="preserve">Methods: </w:t>
            </w:r>
          </w:p>
          <w:p w14:paraId="54CD3ED0" w14:textId="31B9BB46" w:rsidR="00222D77" w:rsidRPr="000F25AB" w:rsidRDefault="00222D77" w:rsidP="005F5B6C">
            <w:pPr>
              <w:pStyle w:val="Default"/>
              <w:jc w:val="both"/>
              <w:rPr>
                <w:sz w:val="22"/>
                <w:szCs w:val="22"/>
              </w:rPr>
            </w:pPr>
            <w:r w:rsidRPr="000F25AB">
              <w:rPr>
                <w:sz w:val="22"/>
                <w:szCs w:val="22"/>
              </w:rPr>
              <w:t xml:space="preserve">Retrospective chart review </w:t>
            </w:r>
            <w:r w:rsidR="00B43F24" w:rsidRPr="000F25AB">
              <w:rPr>
                <w:sz w:val="22"/>
                <w:szCs w:val="22"/>
              </w:rPr>
              <w:t>of</w:t>
            </w:r>
            <w:r w:rsidRPr="000F25AB">
              <w:rPr>
                <w:sz w:val="22"/>
                <w:szCs w:val="22"/>
              </w:rPr>
              <w:t xml:space="preserve"> patients who received RRT (CDT</w:t>
            </w:r>
            <w:r w:rsidR="00AA332B" w:rsidRPr="000F25AB">
              <w:rPr>
                <w:sz w:val="22"/>
                <w:szCs w:val="22"/>
              </w:rPr>
              <w:t xml:space="preserve">) </w:t>
            </w:r>
            <w:r w:rsidRPr="000F25AB">
              <w:rPr>
                <w:sz w:val="22"/>
                <w:szCs w:val="22"/>
              </w:rPr>
              <w:t xml:space="preserve">from August 2018-December 2022, following failed initial anticoagulation </w:t>
            </w:r>
            <w:r w:rsidR="001A46C1" w:rsidRPr="000F25AB">
              <w:rPr>
                <w:sz w:val="22"/>
                <w:szCs w:val="22"/>
              </w:rPr>
              <w:t>(</w:t>
            </w:r>
            <w:r w:rsidR="00CE6AE6" w:rsidRPr="000F25AB">
              <w:rPr>
                <w:sz w:val="22"/>
                <w:szCs w:val="22"/>
              </w:rPr>
              <w:t>intermediate/high-risk</w:t>
            </w:r>
            <w:r w:rsidR="001A46C1" w:rsidRPr="000F25AB">
              <w:rPr>
                <w:sz w:val="22"/>
                <w:szCs w:val="22"/>
              </w:rPr>
              <w:t xml:space="preserve"> PE) </w:t>
            </w:r>
            <w:r w:rsidRPr="000F25AB">
              <w:rPr>
                <w:sz w:val="22"/>
                <w:szCs w:val="22"/>
              </w:rPr>
              <w:t>or systemic thrombolysis</w:t>
            </w:r>
            <w:r w:rsidR="001A46C1" w:rsidRPr="000F25AB">
              <w:rPr>
                <w:sz w:val="22"/>
                <w:szCs w:val="22"/>
              </w:rPr>
              <w:t xml:space="preserve"> (</w:t>
            </w:r>
            <w:r w:rsidR="00CE6AE6" w:rsidRPr="000F25AB">
              <w:rPr>
                <w:sz w:val="22"/>
                <w:szCs w:val="22"/>
              </w:rPr>
              <w:t>high-risk</w:t>
            </w:r>
            <w:r w:rsidR="001A46C1" w:rsidRPr="000F25AB">
              <w:rPr>
                <w:sz w:val="22"/>
                <w:szCs w:val="22"/>
              </w:rPr>
              <w:t xml:space="preserve"> PE)</w:t>
            </w:r>
            <w:r w:rsidRPr="000F25AB">
              <w:rPr>
                <w:sz w:val="22"/>
                <w:szCs w:val="22"/>
              </w:rPr>
              <w:t>. Patients were risk-stratified as high, intermediate or low</w:t>
            </w:r>
            <w:r w:rsidR="006E4D67" w:rsidRPr="000F25AB">
              <w:rPr>
                <w:sz w:val="22"/>
                <w:szCs w:val="22"/>
              </w:rPr>
              <w:t>-</w:t>
            </w:r>
            <w:r w:rsidRPr="000F25AB">
              <w:rPr>
                <w:sz w:val="22"/>
                <w:szCs w:val="22"/>
              </w:rPr>
              <w:t xml:space="preserve">risk. We assessed RV:LV ratio before and after RRT, 7 and 30-day mortality, treatment complications, and length of intensive care stay. </w:t>
            </w:r>
            <w:r w:rsidR="007677D0" w:rsidRPr="000F25AB">
              <w:rPr>
                <w:sz w:val="22"/>
                <w:szCs w:val="22"/>
              </w:rPr>
              <w:t>Data</w:t>
            </w:r>
            <w:r w:rsidRPr="000F25AB">
              <w:rPr>
                <w:sz w:val="22"/>
                <w:szCs w:val="22"/>
              </w:rPr>
              <w:t xml:space="preserve"> </w:t>
            </w:r>
            <w:r w:rsidR="007677D0" w:rsidRPr="000F25AB">
              <w:rPr>
                <w:sz w:val="22"/>
                <w:szCs w:val="22"/>
              </w:rPr>
              <w:t>are presented</w:t>
            </w:r>
            <w:r w:rsidRPr="000F25AB">
              <w:rPr>
                <w:sz w:val="22"/>
                <w:szCs w:val="22"/>
              </w:rPr>
              <w:t xml:space="preserve"> as mean±SD.</w:t>
            </w:r>
          </w:p>
          <w:p w14:paraId="39141CCF" w14:textId="77777777" w:rsidR="00222D77" w:rsidRPr="000F25AB" w:rsidRDefault="00222D77" w:rsidP="005F5B6C">
            <w:pPr>
              <w:pStyle w:val="Pa12"/>
              <w:jc w:val="both"/>
              <w:rPr>
                <w:rStyle w:val="A4"/>
                <w:b/>
                <w:bCs/>
              </w:rPr>
            </w:pPr>
          </w:p>
          <w:p w14:paraId="6BF3F094" w14:textId="11D87BDA" w:rsidR="00222D77" w:rsidRPr="000F25AB" w:rsidRDefault="00222D77" w:rsidP="005F5B6C">
            <w:pPr>
              <w:pStyle w:val="Pa12"/>
              <w:jc w:val="both"/>
              <w:rPr>
                <w:rStyle w:val="A4"/>
                <w:b/>
                <w:bCs/>
              </w:rPr>
            </w:pPr>
            <w:r w:rsidRPr="000F25AB">
              <w:rPr>
                <w:rStyle w:val="A4"/>
                <w:b/>
                <w:bCs/>
              </w:rPr>
              <w:t xml:space="preserve">Results: </w:t>
            </w:r>
          </w:p>
          <w:p w14:paraId="57777F3F" w14:textId="3773E666" w:rsidR="00222D77" w:rsidRPr="000F25AB" w:rsidRDefault="007677D0" w:rsidP="005F5B6C">
            <w:pPr>
              <w:pStyle w:val="Default"/>
              <w:jc w:val="both"/>
              <w:rPr>
                <w:sz w:val="22"/>
                <w:szCs w:val="22"/>
              </w:rPr>
            </w:pPr>
            <w:r w:rsidRPr="000F25AB">
              <w:rPr>
                <w:sz w:val="22"/>
                <w:szCs w:val="22"/>
              </w:rPr>
              <w:t xml:space="preserve">18 patients, </w:t>
            </w:r>
            <w:r w:rsidR="00222D77" w:rsidRPr="000F25AB">
              <w:rPr>
                <w:sz w:val="22"/>
                <w:szCs w:val="22"/>
              </w:rPr>
              <w:t xml:space="preserve">age 50±16.1 years; </w:t>
            </w:r>
            <w:r w:rsidRPr="000F25AB">
              <w:rPr>
                <w:sz w:val="22"/>
                <w:szCs w:val="22"/>
              </w:rPr>
              <w:t>12</w:t>
            </w:r>
            <w:r w:rsidR="00222D77" w:rsidRPr="000F25AB">
              <w:rPr>
                <w:sz w:val="22"/>
                <w:szCs w:val="22"/>
              </w:rPr>
              <w:t xml:space="preserve"> female</w:t>
            </w:r>
            <w:r w:rsidRPr="000F25AB">
              <w:rPr>
                <w:sz w:val="22"/>
                <w:szCs w:val="22"/>
              </w:rPr>
              <w:t>s</w:t>
            </w:r>
            <w:r w:rsidR="00222D77" w:rsidRPr="000F25AB">
              <w:rPr>
                <w:sz w:val="22"/>
                <w:szCs w:val="22"/>
              </w:rPr>
              <w:t xml:space="preserve"> (</w:t>
            </w:r>
            <w:r w:rsidRPr="000F25AB">
              <w:rPr>
                <w:sz w:val="22"/>
                <w:szCs w:val="22"/>
              </w:rPr>
              <w:t>67%</w:t>
            </w:r>
            <w:r w:rsidR="00222D77" w:rsidRPr="000F25AB">
              <w:rPr>
                <w:sz w:val="22"/>
                <w:szCs w:val="22"/>
              </w:rPr>
              <w:t>)</w:t>
            </w:r>
            <w:r w:rsidRPr="000F25AB">
              <w:rPr>
                <w:sz w:val="22"/>
                <w:szCs w:val="22"/>
              </w:rPr>
              <w:t xml:space="preserve">; </w:t>
            </w:r>
            <w:r w:rsidR="00222D77" w:rsidRPr="000F25AB">
              <w:rPr>
                <w:sz w:val="22"/>
                <w:szCs w:val="22"/>
              </w:rPr>
              <w:t>BMI 31±6.3kg/m</w:t>
            </w:r>
            <w:r w:rsidR="00222D77" w:rsidRPr="000F25AB">
              <w:rPr>
                <w:sz w:val="22"/>
                <w:szCs w:val="22"/>
                <w:vertAlign w:val="superscript"/>
              </w:rPr>
              <w:t>2</w:t>
            </w:r>
            <w:r w:rsidR="00222D77" w:rsidRPr="000F25AB">
              <w:rPr>
                <w:sz w:val="22"/>
                <w:szCs w:val="22"/>
              </w:rPr>
              <w:t xml:space="preserve">. PE Severity Index was 1.8±0.9, with </w:t>
            </w:r>
            <w:r w:rsidRPr="000F25AB">
              <w:rPr>
                <w:sz w:val="22"/>
                <w:szCs w:val="22"/>
              </w:rPr>
              <w:t>5</w:t>
            </w:r>
            <w:r w:rsidR="00222D77" w:rsidRPr="000F25AB">
              <w:rPr>
                <w:sz w:val="22"/>
                <w:szCs w:val="22"/>
              </w:rPr>
              <w:t xml:space="preserve"> </w:t>
            </w:r>
            <w:r w:rsidRPr="000F25AB">
              <w:rPr>
                <w:sz w:val="22"/>
                <w:szCs w:val="22"/>
              </w:rPr>
              <w:t xml:space="preserve">(38%) </w:t>
            </w:r>
            <w:r w:rsidR="00CE6AE6" w:rsidRPr="000F25AB">
              <w:rPr>
                <w:sz w:val="22"/>
                <w:szCs w:val="22"/>
              </w:rPr>
              <w:t>high-risk</w:t>
            </w:r>
            <w:r w:rsidR="00222D77" w:rsidRPr="000F25AB">
              <w:rPr>
                <w:sz w:val="22"/>
                <w:szCs w:val="22"/>
              </w:rPr>
              <w:t xml:space="preserve"> and 13 </w:t>
            </w:r>
            <w:r w:rsidRPr="000F25AB">
              <w:rPr>
                <w:sz w:val="22"/>
                <w:szCs w:val="22"/>
              </w:rPr>
              <w:t xml:space="preserve">(72%) </w:t>
            </w:r>
            <w:r w:rsidR="00CE6AE6" w:rsidRPr="000F25AB">
              <w:rPr>
                <w:sz w:val="22"/>
                <w:szCs w:val="22"/>
              </w:rPr>
              <w:t>intermediate/high-risk</w:t>
            </w:r>
            <w:r w:rsidR="00222D77" w:rsidRPr="000F25AB">
              <w:rPr>
                <w:sz w:val="22"/>
                <w:szCs w:val="22"/>
              </w:rPr>
              <w:t xml:space="preserve"> PE. 6</w:t>
            </w:r>
            <w:r w:rsidRPr="000F25AB">
              <w:rPr>
                <w:sz w:val="22"/>
                <w:szCs w:val="22"/>
              </w:rPr>
              <w:t xml:space="preserve"> patients (55%) </w:t>
            </w:r>
            <w:r w:rsidR="00222D77" w:rsidRPr="000F25AB">
              <w:rPr>
                <w:sz w:val="22"/>
                <w:szCs w:val="22"/>
              </w:rPr>
              <w:t xml:space="preserve">had simultaneous deep venous thrombosis. </w:t>
            </w:r>
            <w:r w:rsidR="001A46C1" w:rsidRPr="000F25AB">
              <w:rPr>
                <w:sz w:val="22"/>
                <w:szCs w:val="22"/>
              </w:rPr>
              <w:t xml:space="preserve">Initial treatment included therapeutic anticoagulation alone for </w:t>
            </w:r>
            <w:r w:rsidR="00D23B51" w:rsidRPr="000F25AB">
              <w:rPr>
                <w:sz w:val="22"/>
                <w:szCs w:val="22"/>
              </w:rPr>
              <w:t xml:space="preserve">intermediate/high-risk </w:t>
            </w:r>
            <w:r w:rsidR="001A46C1" w:rsidRPr="000F25AB">
              <w:rPr>
                <w:sz w:val="22"/>
                <w:szCs w:val="22"/>
              </w:rPr>
              <w:t>PE</w:t>
            </w:r>
            <w:r w:rsidR="00D23B51" w:rsidRPr="000F25AB">
              <w:rPr>
                <w:sz w:val="22"/>
                <w:szCs w:val="22"/>
              </w:rPr>
              <w:t xml:space="preserve"> (</w:t>
            </w:r>
            <w:r w:rsidR="001A46C1" w:rsidRPr="000F25AB">
              <w:rPr>
                <w:sz w:val="22"/>
                <w:szCs w:val="22"/>
              </w:rPr>
              <w:t>n=11) or systemic thrombolysis (</w:t>
            </w:r>
            <w:r w:rsidR="00D23B51" w:rsidRPr="000F25AB">
              <w:rPr>
                <w:sz w:val="22"/>
                <w:szCs w:val="22"/>
              </w:rPr>
              <w:t>high-risk</w:t>
            </w:r>
            <w:r w:rsidR="001A46C1" w:rsidRPr="000F25AB">
              <w:rPr>
                <w:sz w:val="22"/>
                <w:szCs w:val="22"/>
              </w:rPr>
              <w:t xml:space="preserve"> PE; n=7). </w:t>
            </w:r>
            <w:r w:rsidR="00F61A6F" w:rsidRPr="000F25AB">
              <w:rPr>
                <w:sz w:val="22"/>
                <w:szCs w:val="22"/>
              </w:rPr>
              <w:t>All patients reviewed had RRT for clinical deterioration following PERT consensus.</w:t>
            </w:r>
            <w:r w:rsidRPr="000F25AB">
              <w:rPr>
                <w:sz w:val="22"/>
                <w:szCs w:val="22"/>
              </w:rPr>
              <w:t xml:space="preserve"> </w:t>
            </w:r>
            <w:r w:rsidR="00222D77" w:rsidRPr="000F25AB">
              <w:rPr>
                <w:sz w:val="22"/>
                <w:szCs w:val="22"/>
              </w:rPr>
              <w:t>ICU/HDU length of stay was 7±</w:t>
            </w:r>
            <w:r w:rsidR="0028003F" w:rsidRPr="000F25AB">
              <w:rPr>
                <w:sz w:val="22"/>
                <w:szCs w:val="22"/>
              </w:rPr>
              <w:t>7.3</w:t>
            </w:r>
            <w:r w:rsidR="00222D77" w:rsidRPr="000F25AB">
              <w:rPr>
                <w:sz w:val="22"/>
                <w:szCs w:val="22"/>
              </w:rPr>
              <w:t xml:space="preserve"> </w:t>
            </w:r>
            <w:r w:rsidR="00AA332B" w:rsidRPr="000F25AB">
              <w:rPr>
                <w:sz w:val="22"/>
                <w:szCs w:val="22"/>
              </w:rPr>
              <w:t xml:space="preserve">days </w:t>
            </w:r>
            <w:r w:rsidR="00222D77" w:rsidRPr="000F25AB">
              <w:rPr>
                <w:sz w:val="22"/>
                <w:szCs w:val="22"/>
              </w:rPr>
              <w:t xml:space="preserve">(range </w:t>
            </w:r>
            <w:r w:rsidR="0028003F" w:rsidRPr="000F25AB">
              <w:rPr>
                <w:sz w:val="22"/>
                <w:szCs w:val="22"/>
              </w:rPr>
              <w:t>0</w:t>
            </w:r>
            <w:r w:rsidR="00222D77" w:rsidRPr="000F25AB">
              <w:rPr>
                <w:sz w:val="22"/>
                <w:szCs w:val="22"/>
              </w:rPr>
              <w:t>-2</w:t>
            </w:r>
            <w:r w:rsidR="0028003F" w:rsidRPr="000F25AB">
              <w:rPr>
                <w:sz w:val="22"/>
                <w:szCs w:val="22"/>
              </w:rPr>
              <w:t>8</w:t>
            </w:r>
            <w:r w:rsidR="00222D77" w:rsidRPr="000F25AB">
              <w:rPr>
                <w:sz w:val="22"/>
                <w:szCs w:val="22"/>
              </w:rPr>
              <w:t xml:space="preserve">). RV:LV ratio </w:t>
            </w:r>
            <w:r w:rsidR="00242624" w:rsidRPr="000F25AB">
              <w:rPr>
                <w:sz w:val="22"/>
                <w:szCs w:val="22"/>
              </w:rPr>
              <w:t xml:space="preserve">decreased following RRT </w:t>
            </w:r>
            <w:r w:rsidR="003570C7" w:rsidRPr="000F25AB">
              <w:rPr>
                <w:sz w:val="22"/>
                <w:szCs w:val="22"/>
              </w:rPr>
              <w:t xml:space="preserve">in 14 of 18 patients (mean reduction -0.39; </w:t>
            </w:r>
            <w:r w:rsidR="00C0504A" w:rsidRPr="000F25AB">
              <w:rPr>
                <w:sz w:val="22"/>
                <w:szCs w:val="22"/>
              </w:rPr>
              <w:t>95%CI:-0.65 to -0.12</w:t>
            </w:r>
            <w:r w:rsidR="00040679" w:rsidRPr="000F25AB">
              <w:rPr>
                <w:sz w:val="22"/>
                <w:szCs w:val="22"/>
              </w:rPr>
              <w:t>; p=0.006</w:t>
            </w:r>
            <w:r w:rsidR="00AA332B" w:rsidRPr="000F25AB">
              <w:rPr>
                <w:sz w:val="22"/>
                <w:szCs w:val="22"/>
              </w:rPr>
              <w:t>; paired t-test</w:t>
            </w:r>
            <w:r w:rsidR="00C0504A" w:rsidRPr="000F25AB">
              <w:rPr>
                <w:sz w:val="22"/>
                <w:szCs w:val="22"/>
              </w:rPr>
              <w:t xml:space="preserve">) </w:t>
            </w:r>
            <w:r w:rsidR="00242624" w:rsidRPr="000F25AB">
              <w:rPr>
                <w:sz w:val="22"/>
                <w:szCs w:val="22"/>
              </w:rPr>
              <w:t>from</w:t>
            </w:r>
            <w:r w:rsidR="00222D77" w:rsidRPr="000F25AB">
              <w:rPr>
                <w:sz w:val="22"/>
                <w:szCs w:val="22"/>
              </w:rPr>
              <w:t xml:space="preserve"> 1.</w:t>
            </w:r>
            <w:r w:rsidR="0028003F" w:rsidRPr="000F25AB">
              <w:rPr>
                <w:sz w:val="22"/>
                <w:szCs w:val="22"/>
              </w:rPr>
              <w:t>7</w:t>
            </w:r>
            <w:r w:rsidR="00222D77" w:rsidRPr="000F25AB">
              <w:rPr>
                <w:sz w:val="22"/>
                <w:szCs w:val="22"/>
              </w:rPr>
              <w:t>±0.</w:t>
            </w:r>
            <w:r w:rsidR="0028003F" w:rsidRPr="000F25AB">
              <w:rPr>
                <w:sz w:val="22"/>
                <w:szCs w:val="22"/>
              </w:rPr>
              <w:t>4</w:t>
            </w:r>
            <w:r w:rsidR="00222D77" w:rsidRPr="000F25AB">
              <w:rPr>
                <w:sz w:val="22"/>
                <w:szCs w:val="22"/>
              </w:rPr>
              <w:t xml:space="preserve"> </w:t>
            </w:r>
            <w:r w:rsidR="00040679" w:rsidRPr="000F25AB">
              <w:rPr>
                <w:sz w:val="22"/>
                <w:szCs w:val="22"/>
              </w:rPr>
              <w:t xml:space="preserve">(pre-RRT) to </w:t>
            </w:r>
            <w:r w:rsidR="00222D77" w:rsidRPr="000F25AB">
              <w:rPr>
                <w:sz w:val="22"/>
                <w:szCs w:val="22"/>
              </w:rPr>
              <w:t>1.3±0.</w:t>
            </w:r>
            <w:r w:rsidR="0028003F" w:rsidRPr="000F25AB">
              <w:rPr>
                <w:sz w:val="22"/>
                <w:szCs w:val="22"/>
              </w:rPr>
              <w:t>3</w:t>
            </w:r>
            <w:r w:rsidR="00040679" w:rsidRPr="000F25AB">
              <w:rPr>
                <w:sz w:val="22"/>
                <w:szCs w:val="22"/>
              </w:rPr>
              <w:t xml:space="preserve"> (post-RR</w:t>
            </w:r>
            <w:r w:rsidR="00A77808" w:rsidRPr="000F25AB">
              <w:rPr>
                <w:sz w:val="22"/>
                <w:szCs w:val="22"/>
              </w:rPr>
              <w:t>T</w:t>
            </w:r>
            <w:r w:rsidR="00040679" w:rsidRPr="000F25AB">
              <w:rPr>
                <w:sz w:val="22"/>
                <w:szCs w:val="22"/>
              </w:rPr>
              <w:t>)</w:t>
            </w:r>
            <w:r w:rsidR="00222D77" w:rsidRPr="000F25AB">
              <w:rPr>
                <w:sz w:val="22"/>
                <w:szCs w:val="22"/>
              </w:rPr>
              <w:t xml:space="preserve">.  </w:t>
            </w:r>
            <w:r w:rsidR="00A77808" w:rsidRPr="000F25AB">
              <w:rPr>
                <w:sz w:val="22"/>
                <w:szCs w:val="22"/>
              </w:rPr>
              <w:t>There was</w:t>
            </w:r>
            <w:r w:rsidR="00222D77" w:rsidRPr="000F25AB">
              <w:rPr>
                <w:sz w:val="22"/>
                <w:szCs w:val="22"/>
              </w:rPr>
              <w:t xml:space="preserve"> </w:t>
            </w:r>
            <w:r w:rsidR="00A77808" w:rsidRPr="000F25AB">
              <w:rPr>
                <w:sz w:val="22"/>
                <w:szCs w:val="22"/>
              </w:rPr>
              <w:t xml:space="preserve">one </w:t>
            </w:r>
            <w:r w:rsidRPr="000F25AB">
              <w:rPr>
                <w:sz w:val="22"/>
                <w:szCs w:val="22"/>
              </w:rPr>
              <w:t>death (5.5%)</w:t>
            </w:r>
            <w:r w:rsidR="00222D77" w:rsidRPr="000F25AB">
              <w:rPr>
                <w:sz w:val="22"/>
                <w:szCs w:val="22"/>
              </w:rPr>
              <w:t xml:space="preserve"> </w:t>
            </w:r>
            <w:r w:rsidR="00F61A6F" w:rsidRPr="000F25AB">
              <w:rPr>
                <w:sz w:val="22"/>
                <w:szCs w:val="22"/>
              </w:rPr>
              <w:t xml:space="preserve">due to </w:t>
            </w:r>
            <w:r w:rsidR="00CE6AE6" w:rsidRPr="000F25AB">
              <w:rPr>
                <w:sz w:val="22"/>
                <w:szCs w:val="22"/>
              </w:rPr>
              <w:t>high-risk</w:t>
            </w:r>
            <w:r w:rsidR="00F61A6F" w:rsidRPr="000F25AB">
              <w:rPr>
                <w:sz w:val="22"/>
                <w:szCs w:val="22"/>
              </w:rPr>
              <w:t xml:space="preserve"> PE</w:t>
            </w:r>
            <w:r w:rsidR="00CE6AE6" w:rsidRPr="000F25AB">
              <w:rPr>
                <w:sz w:val="22"/>
                <w:szCs w:val="22"/>
              </w:rPr>
              <w:t>-</w:t>
            </w:r>
            <w:r w:rsidR="00F61A6F" w:rsidRPr="000F25AB">
              <w:rPr>
                <w:sz w:val="22"/>
                <w:szCs w:val="22"/>
              </w:rPr>
              <w:t>related haemodynamic collapse</w:t>
            </w:r>
            <w:r w:rsidR="00A77808" w:rsidRPr="000F25AB">
              <w:rPr>
                <w:sz w:val="22"/>
                <w:szCs w:val="22"/>
              </w:rPr>
              <w:t>. C</w:t>
            </w:r>
            <w:r w:rsidR="00222D77" w:rsidRPr="000F25AB">
              <w:rPr>
                <w:sz w:val="22"/>
                <w:szCs w:val="22"/>
              </w:rPr>
              <w:t xml:space="preserve">omplications </w:t>
            </w:r>
            <w:r w:rsidR="00A77808" w:rsidRPr="000F25AB">
              <w:rPr>
                <w:sz w:val="22"/>
                <w:szCs w:val="22"/>
              </w:rPr>
              <w:t>of RRT were</w:t>
            </w:r>
            <w:r w:rsidR="00F61A6F" w:rsidRPr="000F25AB">
              <w:rPr>
                <w:sz w:val="22"/>
                <w:szCs w:val="22"/>
              </w:rPr>
              <w:t xml:space="preserve"> minor CDT insertion site bleeding (n=2), and minor pulmonary haemorrhage identified on repeat CTPA (n=1). </w:t>
            </w:r>
          </w:p>
          <w:p w14:paraId="6FC10A3A" w14:textId="77777777" w:rsidR="00222D77" w:rsidRPr="000F25AB" w:rsidRDefault="00222D77" w:rsidP="00551EB2">
            <w:pPr>
              <w:pStyle w:val="Default"/>
              <w:rPr>
                <w:sz w:val="22"/>
                <w:szCs w:val="22"/>
              </w:rPr>
            </w:pPr>
          </w:p>
          <w:p w14:paraId="1B724658" w14:textId="1DB3583A" w:rsidR="00222D77" w:rsidRPr="000F25AB" w:rsidRDefault="00222D77" w:rsidP="00BA5926">
            <w:pPr>
              <w:pStyle w:val="Pa12"/>
              <w:rPr>
                <w:rStyle w:val="A4"/>
                <w:b/>
                <w:bCs/>
              </w:rPr>
            </w:pPr>
            <w:r w:rsidRPr="000F25AB">
              <w:rPr>
                <w:rStyle w:val="A4"/>
                <w:b/>
                <w:bCs/>
              </w:rPr>
              <w:t>Conclusion:</w:t>
            </w:r>
          </w:p>
          <w:p w14:paraId="050AC48C" w14:textId="5B998ED1" w:rsidR="003570C7" w:rsidRPr="000F25AB" w:rsidRDefault="003570C7" w:rsidP="003570C7">
            <w:pPr>
              <w:pStyle w:val="Default"/>
              <w:rPr>
                <w:sz w:val="22"/>
                <w:szCs w:val="22"/>
              </w:rPr>
            </w:pPr>
            <w:r w:rsidRPr="000F25AB">
              <w:rPr>
                <w:sz w:val="22"/>
                <w:szCs w:val="22"/>
              </w:rPr>
              <w:t>RRT using CDT is a</w:t>
            </w:r>
            <w:r w:rsidR="00AA332B" w:rsidRPr="000F25AB">
              <w:rPr>
                <w:sz w:val="22"/>
                <w:szCs w:val="22"/>
              </w:rPr>
              <w:t xml:space="preserve"> highly</w:t>
            </w:r>
            <w:r w:rsidRPr="000F25AB">
              <w:rPr>
                <w:sz w:val="22"/>
                <w:szCs w:val="22"/>
              </w:rPr>
              <w:t xml:space="preserve"> effective, relatively safe </w:t>
            </w:r>
            <w:r w:rsidR="00CE6AE6" w:rsidRPr="000F25AB">
              <w:rPr>
                <w:sz w:val="22"/>
                <w:szCs w:val="22"/>
              </w:rPr>
              <w:t xml:space="preserve">rescue </w:t>
            </w:r>
            <w:r w:rsidRPr="000F25AB">
              <w:rPr>
                <w:sz w:val="22"/>
                <w:szCs w:val="22"/>
              </w:rPr>
              <w:t>intervention when initia</w:t>
            </w:r>
            <w:r w:rsidR="00AA332B" w:rsidRPr="000F25AB">
              <w:rPr>
                <w:sz w:val="22"/>
                <w:szCs w:val="22"/>
              </w:rPr>
              <w:t>l</w:t>
            </w:r>
            <w:r w:rsidRPr="000F25AB">
              <w:rPr>
                <w:sz w:val="22"/>
                <w:szCs w:val="22"/>
              </w:rPr>
              <w:t xml:space="preserve"> </w:t>
            </w:r>
            <w:r w:rsidR="00AA332B" w:rsidRPr="000F25AB">
              <w:rPr>
                <w:sz w:val="22"/>
                <w:szCs w:val="22"/>
              </w:rPr>
              <w:t xml:space="preserve">PE </w:t>
            </w:r>
            <w:r w:rsidRPr="000F25AB">
              <w:rPr>
                <w:sz w:val="22"/>
                <w:szCs w:val="22"/>
              </w:rPr>
              <w:t xml:space="preserve">therapy is unsuccessful. </w:t>
            </w:r>
          </w:p>
          <w:p w14:paraId="49A5A258" w14:textId="77777777" w:rsidR="00222D77" w:rsidRPr="000F25AB" w:rsidRDefault="00222D77" w:rsidP="00D240AB">
            <w:pPr>
              <w:pStyle w:val="Default"/>
              <w:rPr>
                <w:rStyle w:val="A4"/>
              </w:rPr>
            </w:pPr>
          </w:p>
          <w:p w14:paraId="3E8B4283" w14:textId="3087D4E9" w:rsidR="00222D77" w:rsidRPr="000F25AB" w:rsidRDefault="00222D77" w:rsidP="000A28E2">
            <w:pPr>
              <w:pStyle w:val="Pa12"/>
              <w:rPr>
                <w:rStyle w:val="A4"/>
                <w:b/>
                <w:bCs/>
              </w:rPr>
            </w:pPr>
            <w:r w:rsidRPr="000F25AB">
              <w:rPr>
                <w:rStyle w:val="A4"/>
                <w:b/>
                <w:bCs/>
              </w:rPr>
              <w:t xml:space="preserve">Grant Support: </w:t>
            </w:r>
            <w:r w:rsidRPr="000F25AB">
              <w:rPr>
                <w:rStyle w:val="A4"/>
              </w:rPr>
              <w:t>None.</w:t>
            </w:r>
          </w:p>
          <w:p w14:paraId="7F8381F0" w14:textId="77777777" w:rsidR="00222D77" w:rsidRPr="000F25AB" w:rsidRDefault="00222D77" w:rsidP="000A28E2">
            <w:pPr>
              <w:pStyle w:val="Pa12"/>
              <w:rPr>
                <w:sz w:val="22"/>
                <w:szCs w:val="22"/>
              </w:rPr>
            </w:pPr>
            <w:r w:rsidRPr="000F25AB">
              <w:rPr>
                <w:sz w:val="22"/>
                <w:szCs w:val="22"/>
              </w:rPr>
              <w:br/>
            </w:r>
            <w:r w:rsidRPr="000F25AB">
              <w:rPr>
                <w:sz w:val="22"/>
                <w:szCs w:val="22"/>
              </w:rPr>
              <w:br/>
            </w:r>
            <w:r w:rsidRPr="000F25AB">
              <w:rPr>
                <w:sz w:val="22"/>
                <w:szCs w:val="22"/>
              </w:rPr>
              <w:br/>
            </w:r>
            <w:r w:rsidRPr="000F25AB">
              <w:rPr>
                <w:sz w:val="22"/>
                <w:szCs w:val="22"/>
              </w:rPr>
              <w:br/>
            </w:r>
            <w:r w:rsidRPr="000F25AB">
              <w:rPr>
                <w:sz w:val="22"/>
                <w:szCs w:val="22"/>
              </w:rPr>
              <w:br/>
            </w:r>
            <w:r w:rsidRPr="000F25AB">
              <w:rPr>
                <w:sz w:val="22"/>
                <w:szCs w:val="22"/>
              </w:rPr>
              <w:br/>
            </w:r>
            <w:r w:rsidRPr="000F25AB">
              <w:rPr>
                <w:sz w:val="22"/>
                <w:szCs w:val="22"/>
              </w:rPr>
              <w:br/>
            </w:r>
            <w:r w:rsidRPr="000F25AB">
              <w:rPr>
                <w:sz w:val="22"/>
                <w:szCs w:val="22"/>
              </w:rPr>
              <w:br/>
            </w:r>
            <w:r w:rsidRPr="000F25AB">
              <w:rPr>
                <w:sz w:val="22"/>
                <w:szCs w:val="22"/>
              </w:rPr>
              <w:br/>
            </w:r>
            <w:r w:rsidRPr="000F25AB">
              <w:rPr>
                <w:sz w:val="22"/>
                <w:szCs w:val="22"/>
              </w:rPr>
              <w:br/>
            </w:r>
            <w:r w:rsidRPr="000F25AB">
              <w:rPr>
                <w:sz w:val="22"/>
                <w:szCs w:val="22"/>
              </w:rPr>
              <w:br/>
            </w:r>
          </w:p>
          <w:p w14:paraId="731CD908" w14:textId="77777777" w:rsidR="00222D77" w:rsidRPr="000F25AB" w:rsidRDefault="00222D77" w:rsidP="000A28E2">
            <w:pPr>
              <w:pStyle w:val="Default"/>
              <w:rPr>
                <w:sz w:val="22"/>
                <w:szCs w:val="22"/>
              </w:rPr>
            </w:pPr>
          </w:p>
          <w:p w14:paraId="34BF0A0F" w14:textId="77777777" w:rsidR="00222D77" w:rsidRPr="000F25AB" w:rsidRDefault="00222D77" w:rsidP="000A28E2">
            <w:pPr>
              <w:pStyle w:val="Default"/>
              <w:rPr>
                <w:sz w:val="22"/>
                <w:szCs w:val="22"/>
              </w:rPr>
            </w:pPr>
          </w:p>
          <w:p w14:paraId="1FF1A88F" w14:textId="77777777" w:rsidR="00222D77" w:rsidRPr="000F25AB" w:rsidRDefault="00222D77" w:rsidP="000A28E2">
            <w:pPr>
              <w:pStyle w:val="Pa12"/>
              <w:rPr>
                <w:rStyle w:val="A4"/>
                <w:bCs/>
              </w:rPr>
            </w:pPr>
            <w:r w:rsidRPr="000F25AB">
              <w:rPr>
                <w:rStyle w:val="A4"/>
                <w:bCs/>
              </w:rPr>
              <w:br/>
            </w:r>
            <w:r w:rsidRPr="000F25AB">
              <w:rPr>
                <w:rStyle w:val="A4"/>
                <w:bCs/>
              </w:rPr>
              <w:br/>
            </w:r>
            <w:r w:rsidRPr="000F25AB">
              <w:rPr>
                <w:rStyle w:val="A4"/>
                <w:bCs/>
              </w:rPr>
              <w:br/>
            </w:r>
            <w:r w:rsidRPr="000F25AB">
              <w:rPr>
                <w:rStyle w:val="A4"/>
                <w:bCs/>
              </w:rPr>
              <w:br/>
            </w:r>
            <w:r w:rsidRPr="000F25AB">
              <w:rPr>
                <w:rStyle w:val="A4"/>
                <w:bCs/>
              </w:rPr>
              <w:br/>
            </w:r>
            <w:r w:rsidRPr="000F25AB">
              <w:rPr>
                <w:rStyle w:val="A4"/>
                <w:bCs/>
              </w:rPr>
              <w:br/>
            </w:r>
            <w:r w:rsidRPr="000F25AB">
              <w:rPr>
                <w:rStyle w:val="A4"/>
                <w:bCs/>
              </w:rPr>
              <w:br/>
            </w:r>
            <w:r w:rsidRPr="000F25AB">
              <w:rPr>
                <w:rStyle w:val="A4"/>
                <w:bCs/>
              </w:rPr>
              <w:br/>
            </w:r>
            <w:r w:rsidRPr="000F25AB">
              <w:rPr>
                <w:rStyle w:val="A4"/>
                <w:bCs/>
              </w:rPr>
              <w:br/>
            </w:r>
            <w:r w:rsidRPr="000F25AB">
              <w:rPr>
                <w:rStyle w:val="A4"/>
                <w:bCs/>
              </w:rPr>
              <w:br/>
            </w:r>
            <w:r w:rsidRPr="000F25AB">
              <w:rPr>
                <w:rStyle w:val="A4"/>
                <w:bCs/>
              </w:rPr>
              <w:br/>
            </w:r>
          </w:p>
          <w:p w14:paraId="14DC37E4" w14:textId="77777777" w:rsidR="00222D77" w:rsidRPr="000F25AB" w:rsidRDefault="00222D77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222D77" w:rsidRPr="000F25AB" w:rsidRDefault="00222D77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 w:rsidRPr="000F25AB">
              <w:rPr>
                <w:sz w:val="22"/>
                <w:szCs w:val="22"/>
                <w:lang w:val="en-US" w:eastAsia="en-GB"/>
              </w:rPr>
              <w:br/>
            </w:r>
            <w:r w:rsidRPr="000F25AB">
              <w:rPr>
                <w:sz w:val="22"/>
                <w:szCs w:val="22"/>
                <w:lang w:val="en-US" w:eastAsia="en-GB"/>
              </w:rPr>
              <w:br/>
            </w:r>
            <w:r w:rsidRPr="000F25AB">
              <w:rPr>
                <w:sz w:val="22"/>
                <w:szCs w:val="22"/>
                <w:lang w:val="en-US" w:eastAsia="en-GB"/>
              </w:rPr>
              <w:br/>
            </w:r>
            <w:r w:rsidRPr="000F25AB">
              <w:rPr>
                <w:sz w:val="22"/>
                <w:szCs w:val="22"/>
                <w:lang w:val="en-US" w:eastAsia="en-GB"/>
              </w:rPr>
              <w:br/>
            </w:r>
            <w:r w:rsidRPr="000F25AB">
              <w:rPr>
                <w:sz w:val="22"/>
                <w:szCs w:val="22"/>
                <w:lang w:val="en-US" w:eastAsia="en-GB"/>
              </w:rPr>
              <w:br/>
            </w:r>
            <w:r w:rsidRPr="000F25AB">
              <w:rPr>
                <w:sz w:val="22"/>
                <w:szCs w:val="22"/>
                <w:lang w:val="en-US" w:eastAsia="en-GB"/>
              </w:rPr>
              <w:br/>
            </w:r>
            <w:r w:rsidRPr="000F25AB">
              <w:rPr>
                <w:sz w:val="22"/>
                <w:szCs w:val="22"/>
                <w:lang w:val="en-US" w:eastAsia="en-GB"/>
              </w:rPr>
              <w:br/>
            </w:r>
            <w:r w:rsidRPr="000F25AB">
              <w:rPr>
                <w:sz w:val="22"/>
                <w:szCs w:val="22"/>
                <w:lang w:val="en-US" w:eastAsia="en-GB"/>
              </w:rPr>
              <w:br/>
            </w:r>
            <w:r w:rsidRPr="000F25AB">
              <w:rPr>
                <w:sz w:val="22"/>
                <w:szCs w:val="22"/>
                <w:lang w:val="en-US" w:eastAsia="en-GB"/>
              </w:rPr>
              <w:br/>
            </w:r>
            <w:r w:rsidRPr="000F25AB">
              <w:rPr>
                <w:sz w:val="22"/>
                <w:szCs w:val="22"/>
                <w:lang w:val="en-US" w:eastAsia="en-GB"/>
              </w:rPr>
              <w:br/>
            </w:r>
            <w:r w:rsidRPr="000F25AB">
              <w:rPr>
                <w:sz w:val="22"/>
                <w:szCs w:val="22"/>
                <w:lang w:val="en-US" w:eastAsia="en-GB"/>
              </w:rPr>
              <w:br/>
            </w:r>
            <w:r w:rsidRPr="000F25AB">
              <w:rPr>
                <w:sz w:val="22"/>
                <w:szCs w:val="22"/>
                <w:lang w:val="en-US" w:eastAsia="en-GB"/>
              </w:rPr>
              <w:br/>
            </w:r>
            <w:r w:rsidRPr="000F25AB">
              <w:rPr>
                <w:sz w:val="22"/>
                <w:szCs w:val="22"/>
                <w:lang w:val="en-US" w:eastAsia="en-GB"/>
              </w:rPr>
              <w:br/>
            </w:r>
            <w:r w:rsidRPr="000F25AB">
              <w:rPr>
                <w:sz w:val="22"/>
                <w:szCs w:val="22"/>
                <w:lang w:val="en-US" w:eastAsia="en-GB"/>
              </w:rPr>
              <w:br/>
            </w:r>
            <w:r w:rsidRPr="000F25AB">
              <w:rPr>
                <w:sz w:val="22"/>
                <w:szCs w:val="22"/>
                <w:lang w:val="en-US" w:eastAsia="en-GB"/>
              </w:rPr>
              <w:br/>
            </w:r>
            <w:r w:rsidRPr="000F25AB">
              <w:rPr>
                <w:sz w:val="22"/>
                <w:szCs w:val="22"/>
                <w:lang w:val="en-US" w:eastAsia="en-GB"/>
              </w:rPr>
              <w:br/>
            </w:r>
            <w:r w:rsidRPr="000F25AB">
              <w:rPr>
                <w:sz w:val="22"/>
                <w:szCs w:val="22"/>
                <w:lang w:val="en-US" w:eastAsia="en-GB"/>
              </w:rPr>
              <w:br/>
            </w:r>
            <w:r w:rsidRPr="000F25AB">
              <w:rPr>
                <w:sz w:val="22"/>
                <w:szCs w:val="22"/>
                <w:lang w:val="en-US" w:eastAsia="en-GB"/>
              </w:rPr>
              <w:br/>
            </w:r>
            <w:r w:rsidRPr="000F25AB">
              <w:rPr>
                <w:sz w:val="22"/>
                <w:szCs w:val="22"/>
                <w:lang w:val="en-US" w:eastAsia="en-GB"/>
              </w:rPr>
              <w:br/>
            </w:r>
            <w:r w:rsidRPr="000F25AB">
              <w:rPr>
                <w:sz w:val="22"/>
                <w:szCs w:val="22"/>
                <w:lang w:val="en-US" w:eastAsia="en-GB"/>
              </w:rPr>
              <w:br/>
            </w:r>
            <w:r w:rsidRPr="000F25AB">
              <w:rPr>
                <w:sz w:val="22"/>
                <w:szCs w:val="22"/>
                <w:lang w:val="en-US" w:eastAsia="en-GB"/>
              </w:rPr>
              <w:br/>
            </w:r>
            <w:r w:rsidRPr="000F25AB">
              <w:rPr>
                <w:sz w:val="22"/>
                <w:szCs w:val="22"/>
                <w:lang w:val="en-US" w:eastAsia="en-GB"/>
              </w:rPr>
              <w:br/>
            </w:r>
            <w:r w:rsidRPr="000F25AB">
              <w:rPr>
                <w:sz w:val="22"/>
                <w:szCs w:val="22"/>
                <w:lang w:val="en-US" w:eastAsia="en-GB"/>
              </w:rPr>
              <w:br/>
            </w:r>
            <w:r w:rsidRPr="000F25AB">
              <w:rPr>
                <w:sz w:val="22"/>
                <w:szCs w:val="22"/>
                <w:lang w:val="en-US" w:eastAsia="en-GB"/>
              </w:rPr>
              <w:br/>
            </w:r>
            <w:r w:rsidRPr="000F25AB">
              <w:rPr>
                <w:sz w:val="22"/>
                <w:szCs w:val="22"/>
                <w:lang w:val="en-US" w:eastAsia="en-GB"/>
              </w:rPr>
              <w:br/>
            </w:r>
            <w:r w:rsidRPr="000F25AB">
              <w:rPr>
                <w:sz w:val="22"/>
                <w:szCs w:val="22"/>
                <w:lang w:val="en-US" w:eastAsia="en-GB"/>
              </w:rPr>
              <w:br/>
            </w:r>
            <w:r w:rsidRPr="000F25AB">
              <w:rPr>
                <w:sz w:val="22"/>
                <w:szCs w:val="22"/>
                <w:lang w:val="en-US" w:eastAsia="en-GB"/>
              </w:rPr>
              <w:br/>
            </w:r>
            <w:r w:rsidRPr="000F25AB">
              <w:rPr>
                <w:sz w:val="22"/>
                <w:szCs w:val="22"/>
                <w:lang w:val="en-US" w:eastAsia="en-GB"/>
              </w:rPr>
              <w:br/>
            </w:r>
            <w:r w:rsidRPr="000F25AB">
              <w:rPr>
                <w:sz w:val="22"/>
                <w:szCs w:val="22"/>
                <w:lang w:val="en-US" w:eastAsia="en-GB"/>
              </w:rPr>
              <w:br/>
            </w:r>
            <w:r w:rsidRPr="000F25AB">
              <w:rPr>
                <w:sz w:val="22"/>
                <w:szCs w:val="22"/>
                <w:lang w:val="en-US" w:eastAsia="en-GB"/>
              </w:rPr>
              <w:br/>
            </w:r>
            <w:r w:rsidRPr="000F25AB">
              <w:rPr>
                <w:sz w:val="22"/>
                <w:szCs w:val="22"/>
                <w:lang w:val="en-US" w:eastAsia="en-GB"/>
              </w:rPr>
              <w:br/>
            </w:r>
            <w:r w:rsidRPr="000F25AB">
              <w:rPr>
                <w:sz w:val="22"/>
                <w:szCs w:val="22"/>
                <w:lang w:val="en-US" w:eastAsia="en-GB"/>
              </w:rPr>
              <w:br/>
            </w:r>
            <w:r w:rsidRPr="000F25AB">
              <w:rPr>
                <w:sz w:val="22"/>
                <w:szCs w:val="22"/>
                <w:lang w:val="en-US" w:eastAsia="en-GB"/>
              </w:rPr>
              <w:br/>
            </w:r>
            <w:r w:rsidRPr="000F25AB">
              <w:rPr>
                <w:sz w:val="22"/>
                <w:szCs w:val="22"/>
                <w:lang w:val="en-US" w:eastAsia="en-GB"/>
              </w:rPr>
              <w:br/>
            </w:r>
            <w:r w:rsidRPr="000F25AB">
              <w:rPr>
                <w:sz w:val="22"/>
                <w:szCs w:val="22"/>
                <w:lang w:val="en-US" w:eastAsia="en-GB"/>
              </w:rPr>
              <w:br/>
            </w:r>
            <w:r w:rsidRPr="000F25AB">
              <w:rPr>
                <w:sz w:val="22"/>
                <w:szCs w:val="22"/>
                <w:lang w:val="en-US" w:eastAsia="en-GB"/>
              </w:rPr>
              <w:br/>
            </w:r>
            <w:r w:rsidRPr="000F25AB">
              <w:rPr>
                <w:sz w:val="22"/>
                <w:szCs w:val="22"/>
                <w:lang w:val="en-US" w:eastAsia="en-GB"/>
              </w:rPr>
              <w:br/>
            </w:r>
            <w:r w:rsidRPr="000F25AB">
              <w:rPr>
                <w:sz w:val="22"/>
                <w:szCs w:val="22"/>
                <w:lang w:val="en-US" w:eastAsia="en-GB"/>
              </w:rPr>
              <w:br/>
            </w:r>
            <w:r w:rsidRPr="000F25AB">
              <w:rPr>
                <w:sz w:val="22"/>
                <w:szCs w:val="22"/>
                <w:lang w:val="en-US" w:eastAsia="en-GB"/>
              </w:rPr>
              <w:br/>
            </w:r>
            <w:r w:rsidRPr="000F25AB">
              <w:rPr>
                <w:sz w:val="22"/>
                <w:szCs w:val="22"/>
                <w:lang w:val="en-US" w:eastAsia="en-GB"/>
              </w:rPr>
              <w:br/>
            </w:r>
            <w:r w:rsidRPr="000F25AB">
              <w:rPr>
                <w:sz w:val="22"/>
                <w:szCs w:val="22"/>
                <w:lang w:val="en-US" w:eastAsia="en-GB"/>
              </w:rPr>
              <w:br/>
            </w:r>
            <w:r w:rsidRPr="000F25AB">
              <w:rPr>
                <w:sz w:val="22"/>
                <w:szCs w:val="22"/>
                <w:lang w:val="en-US" w:eastAsia="en-GB"/>
              </w:rPr>
              <w:br/>
            </w:r>
            <w:r w:rsidRPr="000F25AB">
              <w:rPr>
                <w:sz w:val="22"/>
                <w:szCs w:val="22"/>
                <w:lang w:val="en-US" w:eastAsia="en-GB"/>
              </w:rPr>
              <w:br/>
            </w:r>
            <w:r w:rsidRPr="000F25AB"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5C1FC562" w14:textId="77777777" w:rsidR="00D901D2" w:rsidRPr="000F25AB" w:rsidRDefault="00D901D2" w:rsidP="00E15107">
      <w:pPr>
        <w:pStyle w:val="Pa12"/>
        <w:rPr>
          <w:rStyle w:val="A4"/>
          <w:bCs/>
        </w:rPr>
      </w:pPr>
    </w:p>
    <w:p w14:paraId="2AB14AEF" w14:textId="578B3095" w:rsidR="0002576B" w:rsidRPr="000F25AB" w:rsidRDefault="0002576B" w:rsidP="00D240AB">
      <w:pPr>
        <w:pStyle w:val="Pa12"/>
        <w:rPr>
          <w:rFonts w:ascii="Garamond" w:hAnsi="Garamond"/>
          <w:sz w:val="22"/>
          <w:szCs w:val="22"/>
        </w:rPr>
      </w:pPr>
    </w:p>
    <w:p w14:paraId="527AF7B9" w14:textId="527E6220" w:rsidR="0002576B" w:rsidRPr="000F25AB" w:rsidRDefault="0002576B" w:rsidP="00F65350">
      <w:pPr>
        <w:spacing w:line="288" w:lineRule="auto"/>
        <w:rPr>
          <w:rFonts w:ascii="Garamond" w:hAnsi="Garamond"/>
          <w:sz w:val="22"/>
          <w:szCs w:val="22"/>
        </w:rPr>
      </w:pPr>
    </w:p>
    <w:p w14:paraId="5587515F" w14:textId="43498AFE" w:rsidR="0002576B" w:rsidRPr="000F25AB" w:rsidRDefault="0002576B" w:rsidP="00F65350">
      <w:pPr>
        <w:spacing w:line="288" w:lineRule="auto"/>
        <w:rPr>
          <w:rFonts w:ascii="Garamond" w:hAnsi="Garamond"/>
          <w:sz w:val="22"/>
          <w:szCs w:val="22"/>
        </w:rPr>
      </w:pPr>
    </w:p>
    <w:p w14:paraId="7766182C" w14:textId="22BA5163" w:rsidR="0002576B" w:rsidRPr="000F25AB" w:rsidRDefault="0002576B" w:rsidP="00F65350">
      <w:pPr>
        <w:spacing w:line="288" w:lineRule="auto"/>
        <w:rPr>
          <w:rFonts w:ascii="Garamond" w:hAnsi="Garamond"/>
          <w:sz w:val="22"/>
          <w:szCs w:val="22"/>
        </w:rPr>
      </w:pPr>
    </w:p>
    <w:p w14:paraId="60D1111D" w14:textId="4F8A70AF" w:rsidR="0002576B" w:rsidRPr="000F25AB" w:rsidRDefault="0002576B" w:rsidP="00F65350">
      <w:pPr>
        <w:spacing w:line="288" w:lineRule="auto"/>
        <w:rPr>
          <w:rFonts w:ascii="Garamond" w:hAnsi="Garamond"/>
          <w:sz w:val="22"/>
          <w:szCs w:val="22"/>
        </w:rPr>
      </w:pPr>
    </w:p>
    <w:p w14:paraId="0D11B9AD" w14:textId="7C0CDBFD" w:rsidR="0002576B" w:rsidRPr="000F25AB" w:rsidRDefault="0002576B" w:rsidP="00F65350">
      <w:pPr>
        <w:spacing w:line="288" w:lineRule="auto"/>
        <w:rPr>
          <w:rFonts w:ascii="Garamond" w:hAnsi="Garamond"/>
          <w:sz w:val="22"/>
          <w:szCs w:val="22"/>
        </w:rPr>
      </w:pPr>
    </w:p>
    <w:p w14:paraId="7C36A9DC" w14:textId="32A70617" w:rsidR="00E0700F" w:rsidRPr="000F25AB" w:rsidRDefault="00E0700F" w:rsidP="001564A4">
      <w:pPr>
        <w:rPr>
          <w:sz w:val="22"/>
          <w:szCs w:val="22"/>
        </w:rPr>
      </w:pPr>
    </w:p>
    <w:sectPr w:rsidR="00E0700F" w:rsidRPr="000F25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4A4"/>
    <w:rsid w:val="0002576B"/>
    <w:rsid w:val="00040679"/>
    <w:rsid w:val="0005209B"/>
    <w:rsid w:val="00096F82"/>
    <w:rsid w:val="000A5F0F"/>
    <w:rsid w:val="000D53B2"/>
    <w:rsid w:val="000F25AB"/>
    <w:rsid w:val="000F5C73"/>
    <w:rsid w:val="00116029"/>
    <w:rsid w:val="001564A4"/>
    <w:rsid w:val="00164468"/>
    <w:rsid w:val="001A46C1"/>
    <w:rsid w:val="001D4EAA"/>
    <w:rsid w:val="001D7EA7"/>
    <w:rsid w:val="00222D77"/>
    <w:rsid w:val="00231953"/>
    <w:rsid w:val="00242624"/>
    <w:rsid w:val="0028003F"/>
    <w:rsid w:val="002864D3"/>
    <w:rsid w:val="002B050A"/>
    <w:rsid w:val="00342490"/>
    <w:rsid w:val="003570C7"/>
    <w:rsid w:val="003B5DE4"/>
    <w:rsid w:val="003F3D9D"/>
    <w:rsid w:val="003F5731"/>
    <w:rsid w:val="00404144"/>
    <w:rsid w:val="00406A05"/>
    <w:rsid w:val="00412CE2"/>
    <w:rsid w:val="00417657"/>
    <w:rsid w:val="00466F96"/>
    <w:rsid w:val="004A2708"/>
    <w:rsid w:val="004E1E60"/>
    <w:rsid w:val="004E6B65"/>
    <w:rsid w:val="0051574E"/>
    <w:rsid w:val="00551EB2"/>
    <w:rsid w:val="00583C8E"/>
    <w:rsid w:val="005E4D55"/>
    <w:rsid w:val="005F5B6C"/>
    <w:rsid w:val="00615322"/>
    <w:rsid w:val="0066764C"/>
    <w:rsid w:val="006A11C4"/>
    <w:rsid w:val="006C33D5"/>
    <w:rsid w:val="006C4D37"/>
    <w:rsid w:val="006C5C97"/>
    <w:rsid w:val="006C6552"/>
    <w:rsid w:val="006E4D67"/>
    <w:rsid w:val="006F332D"/>
    <w:rsid w:val="00733768"/>
    <w:rsid w:val="007471A8"/>
    <w:rsid w:val="007677D0"/>
    <w:rsid w:val="007D6275"/>
    <w:rsid w:val="007E0361"/>
    <w:rsid w:val="007F4B97"/>
    <w:rsid w:val="0081234E"/>
    <w:rsid w:val="0082277D"/>
    <w:rsid w:val="00853869"/>
    <w:rsid w:val="008611EB"/>
    <w:rsid w:val="008803FA"/>
    <w:rsid w:val="009E10A1"/>
    <w:rsid w:val="00A77808"/>
    <w:rsid w:val="00A91F8C"/>
    <w:rsid w:val="00AA332B"/>
    <w:rsid w:val="00AD2313"/>
    <w:rsid w:val="00AE1DAF"/>
    <w:rsid w:val="00B03D17"/>
    <w:rsid w:val="00B12E32"/>
    <w:rsid w:val="00B2490D"/>
    <w:rsid w:val="00B36E31"/>
    <w:rsid w:val="00B43F24"/>
    <w:rsid w:val="00BA4FC3"/>
    <w:rsid w:val="00BA5926"/>
    <w:rsid w:val="00BD4A52"/>
    <w:rsid w:val="00C0504A"/>
    <w:rsid w:val="00C407CA"/>
    <w:rsid w:val="00CE6AE6"/>
    <w:rsid w:val="00D14AE1"/>
    <w:rsid w:val="00D23B51"/>
    <w:rsid w:val="00D240AB"/>
    <w:rsid w:val="00D61110"/>
    <w:rsid w:val="00D73C29"/>
    <w:rsid w:val="00D901D2"/>
    <w:rsid w:val="00DF0FA4"/>
    <w:rsid w:val="00DF124D"/>
    <w:rsid w:val="00DF24EE"/>
    <w:rsid w:val="00E05383"/>
    <w:rsid w:val="00E0700F"/>
    <w:rsid w:val="00E15107"/>
    <w:rsid w:val="00EB1EAA"/>
    <w:rsid w:val="00EE33D2"/>
    <w:rsid w:val="00EE4484"/>
    <w:rsid w:val="00F11518"/>
    <w:rsid w:val="00F361BA"/>
    <w:rsid w:val="00F61A6F"/>
    <w:rsid w:val="00F65350"/>
    <w:rsid w:val="00F81AAD"/>
    <w:rsid w:val="00F9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EA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EAA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6535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535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535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249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2490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222D7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1A46C1"/>
    <w:pPr>
      <w:spacing w:before="100" w:beforeAutospacing="1" w:after="100" w:afterAutospacing="1"/>
    </w:pPr>
    <w:rPr>
      <w:lang w:val="en-A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0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5DE63C6-AE3E-A64A-9CA3-F7478B26F2CE}">
  <we:reference id="wa200001011" version="1.1.0.0" store="en-GB" storeType="OMEX"/>
  <we:alternateReferences>
    <we:reference id="wa200001011" version="1.1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2" ma:contentTypeDescription="Create a new document." ma:contentTypeScope="" ma:versionID="668758aab7edb84ef94c096d5b622e5c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21634f6cd73fdeb0cd35c6e0e268ba57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C6CE18-6C28-44C0-B06A-913E88FA6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Jimmy Chien</cp:lastModifiedBy>
  <cp:revision>4</cp:revision>
  <dcterms:created xsi:type="dcterms:W3CDTF">2023-10-19T00:14:00Z</dcterms:created>
  <dcterms:modified xsi:type="dcterms:W3CDTF">2023-10-19T09:25:00Z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grammarly_documentId">
    <vt:lpwstr>documentId_8344</vt:lpwstr>
  </property>
  <property fmtid="{D5CDD505-2E9C-101B-9397-08002B2CF9AE}" pid="4" name="grammarly_documentContext">
    <vt:lpwstr>{"goals":[],"domain":"general","emotions":[],"dialect":"american"}</vt:lpwstr>
  </property>
</Properties>
</file>