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89B01" w14:textId="77777777" w:rsidR="00F06A6D" w:rsidRDefault="00F06A6D" w:rsidP="008427FA">
      <w:pPr>
        <w:rPr>
          <w:rFonts w:ascii="Arial" w:hAnsi="Arial" w:cs="Arial"/>
          <w:b/>
          <w:bCs/>
        </w:rPr>
      </w:pPr>
      <w:bookmarkStart w:id="0" w:name="OLE_LINK71"/>
      <w:bookmarkStart w:id="1" w:name="OLE_LINK70"/>
    </w:p>
    <w:p w14:paraId="6A91FA94" w14:textId="4D79F0D3" w:rsidR="008427FA" w:rsidRPr="00F06A6D" w:rsidRDefault="00BE6A8A" w:rsidP="00F06A6D">
      <w:pPr>
        <w:rPr>
          <w:rFonts w:ascii="Arial" w:hAnsi="Arial" w:cs="Arial"/>
          <w:b/>
          <w:bCs/>
        </w:rPr>
      </w:pPr>
      <w:r w:rsidRPr="00F06A6D">
        <w:rPr>
          <w:rFonts w:ascii="Arial" w:hAnsi="Arial" w:cs="Arial"/>
          <w:b/>
          <w:bCs/>
        </w:rPr>
        <w:t>Trajectories of inflammatory score and</w:t>
      </w:r>
      <w:bookmarkEnd w:id="0"/>
      <w:r w:rsidRPr="00F06A6D">
        <w:rPr>
          <w:rFonts w:ascii="Arial" w:hAnsi="Arial" w:cs="Arial"/>
          <w:b/>
          <w:bCs/>
        </w:rPr>
        <w:t xml:space="preserve"> the risk of incident diabetes: a national cohort study</w:t>
      </w:r>
      <w:bookmarkEnd w:id="1"/>
    </w:p>
    <w:p w14:paraId="7D46DD6C" w14:textId="77777777" w:rsidR="008427FA" w:rsidRPr="00F06A6D" w:rsidRDefault="008427FA" w:rsidP="00F06A6D">
      <w:pPr>
        <w:rPr>
          <w:rFonts w:ascii="Arial" w:hAnsi="Arial" w:cs="Arial"/>
        </w:rPr>
      </w:pPr>
    </w:p>
    <w:p w14:paraId="7B0B4C21" w14:textId="7F850C5F" w:rsidR="00BE6A8A" w:rsidRPr="00F06A6D" w:rsidRDefault="00BE6A8A" w:rsidP="00F06A6D">
      <w:pPr>
        <w:rPr>
          <w:rFonts w:ascii="Arial" w:hAnsi="Arial" w:cs="Arial"/>
        </w:rPr>
      </w:pPr>
      <w:bookmarkStart w:id="2" w:name="OLE_LINK49"/>
      <w:r w:rsidRPr="00F06A6D">
        <w:rPr>
          <w:rFonts w:ascii="Arial" w:hAnsi="Arial" w:cs="Arial"/>
          <w:b/>
          <w:bCs/>
          <w:lang w:eastAsia="zh-CN"/>
        </w:rPr>
        <w:t>Aims</w:t>
      </w:r>
      <w:r w:rsidRPr="00F06A6D">
        <w:rPr>
          <w:rFonts w:ascii="Arial" w:hAnsi="Arial" w:cs="Arial"/>
        </w:rPr>
        <w:t xml:space="preserve">: </w:t>
      </w:r>
      <w:bookmarkStart w:id="3" w:name="OLE_LINK50"/>
      <w:r w:rsidRPr="00F06A6D">
        <w:rPr>
          <w:rFonts w:ascii="Arial" w:hAnsi="Arial" w:cs="Arial"/>
        </w:rPr>
        <w:t xml:space="preserve">This study delineated temporal trajectories of individual inflammatory scores and examined their relationship with incident DM risk using nationally representative cohort data from the </w:t>
      </w:r>
      <w:bookmarkStart w:id="4" w:name="OLE_LINK36"/>
      <w:r w:rsidRPr="00F06A6D">
        <w:rPr>
          <w:rFonts w:ascii="Arial" w:hAnsi="Arial" w:cs="Arial"/>
        </w:rPr>
        <w:t>China Health and Retirement</w:t>
      </w:r>
      <w:bookmarkEnd w:id="4"/>
      <w:r w:rsidRPr="00F06A6D">
        <w:rPr>
          <w:rFonts w:ascii="Arial" w:hAnsi="Arial" w:cs="Arial"/>
        </w:rPr>
        <w:t xml:space="preserve"> Longitudinal Study (CHARLS). </w:t>
      </w:r>
    </w:p>
    <w:bookmarkEnd w:id="3"/>
    <w:p w14:paraId="78EBF545" w14:textId="77777777" w:rsidR="00F06A6D" w:rsidRDefault="00F06A6D" w:rsidP="00F06A6D">
      <w:pPr>
        <w:rPr>
          <w:rFonts w:ascii="Arial" w:hAnsi="Arial" w:cs="Arial"/>
          <w:b/>
          <w:bCs/>
        </w:rPr>
      </w:pPr>
    </w:p>
    <w:p w14:paraId="7B74759C" w14:textId="288106BB" w:rsidR="00BE6A8A" w:rsidRPr="00F06A6D" w:rsidRDefault="00BE6A8A" w:rsidP="00F06A6D">
      <w:pPr>
        <w:rPr>
          <w:rFonts w:ascii="Arial" w:hAnsi="Arial" w:cs="Arial"/>
        </w:rPr>
      </w:pPr>
      <w:r w:rsidRPr="00F06A6D">
        <w:rPr>
          <w:rFonts w:ascii="Arial" w:hAnsi="Arial" w:cs="Arial"/>
          <w:b/>
          <w:bCs/>
        </w:rPr>
        <w:t>Methods:</w:t>
      </w:r>
      <w:r w:rsidRPr="00F06A6D">
        <w:rPr>
          <w:rFonts w:ascii="Arial" w:hAnsi="Arial" w:cs="Arial"/>
        </w:rPr>
        <w:t xml:space="preserve"> </w:t>
      </w:r>
      <w:bookmarkStart w:id="5" w:name="OLE_LINK14"/>
      <w:bookmarkStart w:id="6" w:name="OLE_LINK51"/>
      <w:r w:rsidRPr="00F06A6D">
        <w:rPr>
          <w:rFonts w:ascii="Arial" w:hAnsi="Arial" w:cs="Arial"/>
        </w:rPr>
        <w:t>The temporal trajectories of the inflammatory score, which was calculated as the sum of Z-scores for C-reactive protein (CRP) and white blood cell (WBC) counts, were specified as the exposure.</w:t>
      </w:r>
      <w:bookmarkEnd w:id="5"/>
      <w:r w:rsidRPr="00F06A6D">
        <w:rPr>
          <w:rFonts w:ascii="Arial" w:hAnsi="Arial" w:cs="Arial"/>
        </w:rPr>
        <w:t xml:space="preserve"> The impact of different dynamic trajectory patterns on the risk of incident DM was </w:t>
      </w:r>
      <w:proofErr w:type="spellStart"/>
      <w:r w:rsidRPr="00F06A6D">
        <w:rPr>
          <w:rFonts w:ascii="Arial" w:hAnsi="Arial" w:cs="Arial"/>
        </w:rPr>
        <w:t>analyzed</w:t>
      </w:r>
      <w:proofErr w:type="spellEnd"/>
      <w:r w:rsidRPr="00F06A6D">
        <w:rPr>
          <w:rFonts w:ascii="Arial" w:hAnsi="Arial" w:cs="Arial"/>
        </w:rPr>
        <w:t xml:space="preserve"> using a longitudinal targeted maximum likelihood estimation (LTMLE) framework, adjusting for time-invariant and time-varying confounders. </w:t>
      </w:r>
    </w:p>
    <w:bookmarkEnd w:id="6"/>
    <w:p w14:paraId="561F4929" w14:textId="77777777" w:rsidR="00F06A6D" w:rsidRDefault="00F06A6D" w:rsidP="00F06A6D">
      <w:pPr>
        <w:rPr>
          <w:rFonts w:ascii="Arial" w:hAnsi="Arial" w:cs="Arial"/>
          <w:b/>
          <w:bCs/>
        </w:rPr>
      </w:pPr>
    </w:p>
    <w:p w14:paraId="3DD0E9F8" w14:textId="0F2D40E5" w:rsidR="00BE6A8A" w:rsidRPr="00F06A6D" w:rsidRDefault="00BE6A8A" w:rsidP="00F06A6D">
      <w:pPr>
        <w:rPr>
          <w:rFonts w:ascii="Arial" w:hAnsi="Arial" w:cs="Arial"/>
        </w:rPr>
      </w:pPr>
      <w:r w:rsidRPr="00F06A6D">
        <w:rPr>
          <w:rFonts w:ascii="Arial" w:hAnsi="Arial" w:cs="Arial"/>
          <w:b/>
          <w:bCs/>
        </w:rPr>
        <w:t>Results:</w:t>
      </w:r>
      <w:r w:rsidRPr="00F06A6D">
        <w:rPr>
          <w:rFonts w:ascii="Arial" w:hAnsi="Arial" w:cs="Arial"/>
        </w:rPr>
        <w:t xml:space="preserve"> A total of 4,305 participants were included, 2,404 (55.84%) of whom were female, with a median baseline age of 58 years. During a 7-year follow-up period, 730 individuals (17.0%) developed incident DM. Four distinct inflammatory score trajectories were identified: low-stable, decreasing, increasing, and high-stable. After adjusting for multiple covariates, </w:t>
      </w:r>
      <w:bookmarkStart w:id="7" w:name="OLE_LINK20"/>
      <w:r w:rsidRPr="00F06A6D">
        <w:rPr>
          <w:rFonts w:ascii="Arial" w:hAnsi="Arial" w:cs="Arial"/>
        </w:rPr>
        <w:t xml:space="preserve">LTMLE analyses showed that </w:t>
      </w:r>
      <w:bookmarkStart w:id="8" w:name="OLE_LINK17"/>
      <w:bookmarkStart w:id="9" w:name="OLE_LINK16"/>
      <w:r w:rsidRPr="00F06A6D">
        <w:rPr>
          <w:rFonts w:ascii="Arial" w:hAnsi="Arial" w:cs="Arial"/>
        </w:rPr>
        <w:t>the high-stable trajectory was significantly associated with an increased risk of DM</w:t>
      </w:r>
      <w:bookmarkEnd w:id="8"/>
      <w:r w:rsidRPr="00F06A6D">
        <w:rPr>
          <w:rFonts w:ascii="Arial" w:hAnsi="Arial" w:cs="Arial"/>
        </w:rPr>
        <w:t xml:space="preserve"> compared with the low-stable reference group (odds ratio [OR] = 1.407, 95% confidence interval [CI]: 1.397–1.418)</w:t>
      </w:r>
      <w:bookmarkEnd w:id="9"/>
      <w:r w:rsidRPr="00F06A6D">
        <w:rPr>
          <w:rFonts w:ascii="Arial" w:hAnsi="Arial" w:cs="Arial"/>
        </w:rPr>
        <w:t xml:space="preserve">, </w:t>
      </w:r>
      <w:bookmarkStart w:id="10" w:name="OLE_LINK18"/>
      <w:r w:rsidRPr="00F06A6D">
        <w:rPr>
          <w:rFonts w:ascii="Arial" w:hAnsi="Arial" w:cs="Arial"/>
        </w:rPr>
        <w:t>with an E-value</w:t>
      </w:r>
      <w:bookmarkEnd w:id="10"/>
      <w:r w:rsidRPr="00F06A6D">
        <w:rPr>
          <w:rFonts w:ascii="Arial" w:hAnsi="Arial" w:cs="Arial"/>
        </w:rPr>
        <w:t xml:space="preserve"> exceeding 2. </w:t>
      </w:r>
      <w:bookmarkStart w:id="11" w:name="OLE_LINK65"/>
      <w:bookmarkEnd w:id="7"/>
      <w:r w:rsidRPr="00F06A6D">
        <w:rPr>
          <w:rFonts w:ascii="Arial" w:hAnsi="Arial" w:cs="Arial"/>
        </w:rPr>
        <w:t xml:space="preserve">In subgroup analyses, the high-stable trajectory was associated with significantly elevated risks among individuals with BMI &lt; 25 kg/m² (OR = 1.608, 95% CI: 1.104–2.111), rural residents (OR = 1.389, 95% CI: 1.030–1.748), and non-smokers (OR = 1.433, 95% CI: 1.026–1.839). </w:t>
      </w:r>
      <w:bookmarkEnd w:id="11"/>
      <w:r w:rsidRPr="00F06A6D">
        <w:rPr>
          <w:rFonts w:ascii="Arial" w:hAnsi="Arial" w:cs="Arial"/>
        </w:rPr>
        <w:t>However, neither multiplicative nor additive interaction analyses demonstrated statistically significant interactions between inflammatory trajectories and stratification factors (all interaction p-values &gt; 0.05).</w:t>
      </w:r>
    </w:p>
    <w:p w14:paraId="050EA572" w14:textId="77777777" w:rsidR="00F06A6D" w:rsidRDefault="00F06A6D" w:rsidP="00F06A6D">
      <w:pPr>
        <w:rPr>
          <w:rFonts w:ascii="Arial" w:hAnsi="Arial" w:cs="Arial"/>
          <w:b/>
          <w:bCs/>
        </w:rPr>
      </w:pPr>
    </w:p>
    <w:p w14:paraId="75298793" w14:textId="5542F71B" w:rsidR="00F06A6D" w:rsidRDefault="00BE6A8A" w:rsidP="00F06A6D">
      <w:pPr>
        <w:rPr>
          <w:rFonts w:ascii="Arial" w:hAnsi="Arial" w:cs="Arial"/>
        </w:rPr>
      </w:pPr>
      <w:r w:rsidRPr="00F06A6D">
        <w:rPr>
          <w:rFonts w:ascii="Arial" w:hAnsi="Arial" w:cs="Arial"/>
          <w:b/>
          <w:bCs/>
        </w:rPr>
        <w:t>Conclusion:</w:t>
      </w:r>
      <w:r w:rsidRPr="00F06A6D">
        <w:rPr>
          <w:rFonts w:ascii="Arial" w:hAnsi="Arial" w:cs="Arial"/>
        </w:rPr>
        <w:t xml:space="preserve"> A persistently elevated inflammatory score is significantly associated with a </w:t>
      </w:r>
    </w:p>
    <w:p w14:paraId="12AC9228" w14:textId="09469E09" w:rsidR="00BE6A8A" w:rsidRPr="00F06A6D" w:rsidRDefault="00BE6A8A" w:rsidP="00F06A6D">
      <w:pPr>
        <w:rPr>
          <w:rFonts w:ascii="Arial" w:hAnsi="Arial" w:cs="Arial"/>
        </w:rPr>
      </w:pPr>
      <w:r w:rsidRPr="00F06A6D">
        <w:rPr>
          <w:rFonts w:ascii="Arial" w:hAnsi="Arial" w:cs="Arial"/>
        </w:rPr>
        <w:t>heightened risk of incident DM. Early identification and intervention may aid in the prevention and management of DM.</w:t>
      </w:r>
      <w:bookmarkStart w:id="12" w:name="OLE_LINK2"/>
      <w:r w:rsidRPr="00F06A6D">
        <w:rPr>
          <w:rFonts w:ascii="Arial" w:hAnsi="Arial" w:cs="Arial"/>
        </w:rPr>
        <w:t xml:space="preserve"> </w:t>
      </w:r>
    </w:p>
    <w:bookmarkEnd w:id="2"/>
    <w:bookmarkEnd w:id="12"/>
    <w:p w14:paraId="11C6E1EF" w14:textId="77777777" w:rsidR="008427FA" w:rsidRPr="00F06A6D" w:rsidRDefault="008427FA" w:rsidP="00F06A6D">
      <w:pPr>
        <w:rPr>
          <w:rFonts w:ascii="Arial" w:hAnsi="Arial" w:cs="Arial"/>
          <w:lang w:eastAsia="zh-CN"/>
        </w:rPr>
      </w:pPr>
    </w:p>
    <w:p w14:paraId="3833D520" w14:textId="3D85B046" w:rsidR="00BE6A8A" w:rsidRPr="00F06A6D" w:rsidRDefault="00BE6A8A" w:rsidP="00F06A6D">
      <w:pPr>
        <w:rPr>
          <w:rFonts w:ascii="Arial" w:hAnsi="Arial" w:cs="Arial"/>
          <w:b/>
          <w:bCs/>
        </w:rPr>
      </w:pPr>
      <w:bookmarkStart w:id="13" w:name="_Hlk215154207"/>
      <w:proofErr w:type="spellStart"/>
      <w:r w:rsidRPr="00F06A6D">
        <w:rPr>
          <w:rFonts w:ascii="Arial" w:hAnsi="Arial" w:cs="Arial"/>
          <w:b/>
          <w:bCs/>
        </w:rPr>
        <w:t>Table</w:t>
      </w:r>
      <w:r w:rsidRPr="00F06A6D">
        <w:rPr>
          <w:rFonts w:ascii="Arial" w:hAnsi="Arial" w:cs="Arial"/>
          <w:color w:val="000000"/>
        </w:rPr>
        <w:t>.</w:t>
      </w:r>
      <w:r w:rsidRPr="00F06A6D">
        <w:rPr>
          <w:rFonts w:ascii="Arial" w:hAnsi="Arial" w:cs="Arial"/>
          <w:b/>
          <w:bCs/>
        </w:rPr>
        <w:t>Comparison</w:t>
      </w:r>
      <w:proofErr w:type="spellEnd"/>
      <w:r w:rsidRPr="00F06A6D">
        <w:rPr>
          <w:rFonts w:ascii="Arial" w:hAnsi="Arial" w:cs="Arial"/>
          <w:b/>
          <w:bCs/>
        </w:rPr>
        <w:t xml:space="preserve"> of the effects of inflammatory score trajectories on incident DM risk using </w:t>
      </w:r>
      <w:proofErr w:type="spellStart"/>
      <w:r w:rsidRPr="00F06A6D">
        <w:rPr>
          <w:rFonts w:ascii="Arial" w:hAnsi="Arial" w:cs="Arial"/>
          <w:b/>
          <w:bCs/>
        </w:rPr>
        <w:t>ltmle</w:t>
      </w:r>
      <w:proofErr w:type="spellEnd"/>
      <w:r w:rsidRPr="00F06A6D">
        <w:rPr>
          <w:rFonts w:ascii="Arial" w:hAnsi="Arial" w:cs="Arial"/>
          <w:b/>
          <w:bCs/>
        </w:rPr>
        <w:t xml:space="preserve"> and g-computation methods with </w:t>
      </w:r>
      <w:proofErr w:type="spellStart"/>
      <w:r w:rsidRPr="00F06A6D">
        <w:rPr>
          <w:rFonts w:ascii="Arial" w:hAnsi="Arial" w:cs="Arial"/>
          <w:b/>
          <w:bCs/>
        </w:rPr>
        <w:t>superlearner</w:t>
      </w:r>
      <w:proofErr w:type="spellEnd"/>
      <w:r w:rsidRPr="00F06A6D">
        <w:rPr>
          <w:rFonts w:ascii="Arial" w:hAnsi="Arial" w:cs="Arial"/>
          <w:b/>
          <w:bCs/>
        </w:rPr>
        <w:t xml:space="preserve"> library 1.</w:t>
      </w:r>
    </w:p>
    <w:bookmarkEnd w:id="13"/>
    <w:p w14:paraId="15D657A2" w14:textId="77777777" w:rsidR="008427FA" w:rsidRPr="00F06A6D" w:rsidRDefault="008427FA" w:rsidP="00F06A6D">
      <w:pPr>
        <w:rPr>
          <w:rFonts w:ascii="Arial" w:hAnsi="Arial" w:cs="Arial"/>
        </w:rPr>
      </w:pPr>
    </w:p>
    <w:tbl>
      <w:tblPr>
        <w:tblW w:w="0" w:type="auto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958"/>
        <w:gridCol w:w="1356"/>
        <w:gridCol w:w="1692"/>
        <w:gridCol w:w="1492"/>
        <w:gridCol w:w="782"/>
        <w:gridCol w:w="845"/>
        <w:gridCol w:w="932"/>
        <w:gridCol w:w="969"/>
      </w:tblGrid>
      <w:tr w:rsidR="00BE6A8A" w:rsidRPr="00F06A6D" w14:paraId="72757D42" w14:textId="77777777" w:rsidTr="00BE6A8A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2B0BFB" w14:textId="26EC4B30" w:rsidR="00BE6A8A" w:rsidRPr="00F06A6D" w:rsidRDefault="00BE6A8A" w:rsidP="00F06A6D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77647E" w14:textId="520D3DC3" w:rsidR="00BE6A8A" w:rsidRPr="00F06A6D" w:rsidRDefault="00BE6A8A" w:rsidP="00F06A6D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56F41C" w14:textId="61074D0F" w:rsidR="00BE6A8A" w:rsidRPr="00F06A6D" w:rsidRDefault="00BE6A8A" w:rsidP="00F06A6D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DFDB2C" w14:textId="12DAC31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eastAsia="DengXian" w:hAnsi="Arial" w:cs="Arial"/>
                <w:color w:val="000000"/>
              </w:rPr>
              <w:t>Estimate 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5E7EA59" w14:textId="6D7AFEC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eastAsia="DengXian" w:hAnsi="Arial" w:cs="Arial"/>
                <w:color w:val="000000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16171F" w14:textId="228D05B1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eastAsia="DengXian" w:hAnsi="Arial" w:cs="Arial"/>
                <w:color w:val="000000"/>
              </w:rPr>
              <w:t>CI low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81E257" w14:textId="17201246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eastAsia="DengXian" w:hAnsi="Arial" w:cs="Arial"/>
                <w:color w:val="000000"/>
              </w:rPr>
              <w:t>CI high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D51AE5" w14:textId="4469B908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eastAsia="DengXian" w:hAnsi="Arial" w:cs="Arial"/>
                <w:color w:val="000000"/>
              </w:rPr>
              <w:t>P value</w:t>
            </w:r>
          </w:p>
        </w:tc>
      </w:tr>
      <w:tr w:rsidR="00BE6A8A" w:rsidRPr="00F06A6D" w14:paraId="4A3067CF" w14:textId="77777777" w:rsidTr="00BE6A8A">
        <w:trPr>
          <w:trHeight w:val="27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D6337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Model4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42AD9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Decreasing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C6FAB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LTMLE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4CCBD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0.997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F2B6C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0.002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1DA59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0.993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27BF2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1.001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9D72A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0.127 </w:t>
            </w:r>
          </w:p>
        </w:tc>
      </w:tr>
      <w:tr w:rsidR="00BE6A8A" w:rsidRPr="00F06A6D" w14:paraId="47FC9285" w14:textId="77777777" w:rsidTr="0001339E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B4C49" w14:textId="77777777" w:rsidR="00BE6A8A" w:rsidRPr="00F06A6D" w:rsidRDefault="00BE6A8A" w:rsidP="00F06A6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A6F6D" w14:textId="77777777" w:rsidR="00BE6A8A" w:rsidRPr="00F06A6D" w:rsidRDefault="00BE6A8A" w:rsidP="00F06A6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17972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G-computation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CE3E1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F03EE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6AF74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1.029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5E7DB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1.133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C99FE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0.002 </w:t>
            </w:r>
          </w:p>
        </w:tc>
      </w:tr>
      <w:tr w:rsidR="00BE6A8A" w:rsidRPr="00F06A6D" w14:paraId="320EFF7D" w14:textId="77777777" w:rsidTr="0001339E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DCBB6" w14:textId="77777777" w:rsidR="00BE6A8A" w:rsidRPr="00F06A6D" w:rsidRDefault="00BE6A8A" w:rsidP="00F06A6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E553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83AE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LTMLE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6A4F1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1.031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29FC5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829D4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1.025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954CD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1.037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70B73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&lt;0.001</w:t>
            </w:r>
          </w:p>
        </w:tc>
      </w:tr>
      <w:tr w:rsidR="00BE6A8A" w:rsidRPr="00F06A6D" w14:paraId="1AE3F7C3" w14:textId="77777777" w:rsidTr="0001339E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C278B" w14:textId="77777777" w:rsidR="00BE6A8A" w:rsidRPr="00F06A6D" w:rsidRDefault="00BE6A8A" w:rsidP="00F06A6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5BDC3" w14:textId="77777777" w:rsidR="00BE6A8A" w:rsidRPr="00F06A6D" w:rsidRDefault="00BE6A8A" w:rsidP="00F06A6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DB981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G-computation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77A1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45FAA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6C01E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1.056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240E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1.197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4E8CE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0.000 </w:t>
            </w:r>
          </w:p>
        </w:tc>
      </w:tr>
      <w:tr w:rsidR="00BE6A8A" w:rsidRPr="00F06A6D" w14:paraId="6F69285A" w14:textId="77777777" w:rsidTr="0001339E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4ADE9" w14:textId="77777777" w:rsidR="00BE6A8A" w:rsidRPr="00F06A6D" w:rsidRDefault="00BE6A8A" w:rsidP="00F06A6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094B7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High 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61EDA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LTMLE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A5A06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1.407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C874C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F56C3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1.397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03CE7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1.418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D1707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&lt;0.001</w:t>
            </w:r>
          </w:p>
        </w:tc>
      </w:tr>
      <w:tr w:rsidR="00BE6A8A" w:rsidRPr="00F06A6D" w14:paraId="7BE7821B" w14:textId="77777777" w:rsidTr="0001339E">
        <w:trPr>
          <w:trHeight w:val="27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E0978" w14:textId="77777777" w:rsidR="00BE6A8A" w:rsidRPr="00F06A6D" w:rsidRDefault="00BE6A8A" w:rsidP="00F06A6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E1556" w14:textId="77777777" w:rsidR="00BE6A8A" w:rsidRPr="00F06A6D" w:rsidRDefault="00BE6A8A" w:rsidP="00F06A6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56ECA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>G-computation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82076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1.426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22A0E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4371A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1.425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29605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1.428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212CA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0.000 </w:t>
            </w:r>
          </w:p>
        </w:tc>
      </w:tr>
      <w:tr w:rsidR="00BE6A8A" w:rsidRPr="00F06A6D" w14:paraId="2A4787F2" w14:textId="77777777" w:rsidTr="0001339E">
        <w:trPr>
          <w:trHeight w:val="521"/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7744E2" w14:textId="4CC85235" w:rsidR="00BE6A8A" w:rsidRPr="00F06A6D" w:rsidRDefault="00BE6A8A" w:rsidP="00F06A6D">
            <w:pPr>
              <w:rPr>
                <w:rFonts w:ascii="Arial" w:hAnsi="Arial" w:cs="Arial"/>
              </w:rPr>
            </w:pPr>
            <w:r w:rsidRPr="00F06A6D">
              <w:rPr>
                <w:rFonts w:ascii="Arial" w:hAnsi="Arial" w:cs="Arial"/>
              </w:rPr>
              <w:t xml:space="preserve">Model4 </w:t>
            </w:r>
            <w:proofErr w:type="gramStart"/>
            <w:r w:rsidRPr="00F06A6D">
              <w:rPr>
                <w:rFonts w:ascii="Arial" w:hAnsi="Arial" w:cs="Arial"/>
              </w:rPr>
              <w:t>adjust:</w:t>
            </w:r>
            <w:bookmarkStart w:id="14" w:name="_Hlk215155236"/>
            <w:proofErr w:type="gramEnd"/>
            <w:r w:rsidRPr="00F06A6D">
              <w:rPr>
                <w:rFonts w:ascii="Arial" w:hAnsi="Arial" w:cs="Arial"/>
              </w:rPr>
              <w:t xml:space="preserve"> age, gender, residence, education, marital, smoking, drinking, hypertension, </w:t>
            </w:r>
            <w:proofErr w:type="spellStart"/>
            <w:r w:rsidRPr="00F06A6D">
              <w:rPr>
                <w:rFonts w:ascii="Arial" w:hAnsi="Arial" w:cs="Arial"/>
              </w:rPr>
              <w:t>dyslipidemia</w:t>
            </w:r>
            <w:proofErr w:type="spellEnd"/>
            <w:r w:rsidRPr="00F06A6D">
              <w:rPr>
                <w:rFonts w:ascii="Arial" w:hAnsi="Arial" w:cs="Arial"/>
              </w:rPr>
              <w:t xml:space="preserve">, cardiovascular disease, liver disease, chronic kidney disease, </w:t>
            </w:r>
            <w:proofErr w:type="gramStart"/>
            <w:r w:rsidRPr="00F06A6D">
              <w:rPr>
                <w:rFonts w:ascii="Arial" w:hAnsi="Arial" w:cs="Arial"/>
              </w:rPr>
              <w:t>BMI</w:t>
            </w:r>
            <w:bookmarkEnd w:id="14"/>
            <w:r w:rsidRPr="00F06A6D">
              <w:rPr>
                <w:rFonts w:ascii="Arial" w:hAnsi="Arial" w:cs="Arial"/>
              </w:rPr>
              <w:t>;</w:t>
            </w:r>
            <w:proofErr w:type="gramEnd"/>
          </w:p>
          <w:p w14:paraId="299A94B4" w14:textId="77777777" w:rsidR="00BE6A8A" w:rsidRPr="00F06A6D" w:rsidRDefault="00BE6A8A" w:rsidP="00F06A6D">
            <w:pPr>
              <w:rPr>
                <w:rFonts w:ascii="Arial" w:hAnsi="Arial" w:cs="Arial"/>
              </w:rPr>
            </w:pPr>
            <w:proofErr w:type="spellStart"/>
            <w:r w:rsidRPr="00F06A6D">
              <w:rPr>
                <w:rFonts w:ascii="Arial" w:hAnsi="Arial" w:cs="Arial"/>
              </w:rPr>
              <w:t>superlearner</w:t>
            </w:r>
            <w:proofErr w:type="spellEnd"/>
            <w:r w:rsidRPr="00F06A6D">
              <w:rPr>
                <w:rFonts w:ascii="Arial" w:hAnsi="Arial" w:cs="Arial"/>
              </w:rPr>
              <w:t xml:space="preserve"> library 1 includes generalized linear Model. Abbreviation: </w:t>
            </w:r>
            <w:proofErr w:type="gramStart"/>
            <w:r w:rsidRPr="00F06A6D">
              <w:rPr>
                <w:rFonts w:ascii="Arial" w:hAnsi="Arial" w:cs="Arial"/>
              </w:rPr>
              <w:t>OR,</w:t>
            </w:r>
            <w:proofErr w:type="gramEnd"/>
            <w:r w:rsidRPr="00F06A6D">
              <w:rPr>
                <w:rFonts w:ascii="Arial" w:hAnsi="Arial" w:cs="Arial"/>
              </w:rPr>
              <w:t xml:space="preserve"> Odds ratio; SE, Standard error; CI, Confidence interval; </w:t>
            </w:r>
            <w:bookmarkStart w:id="15" w:name="_Hlk215155295"/>
            <w:r w:rsidRPr="00F06A6D">
              <w:rPr>
                <w:rFonts w:ascii="Arial" w:hAnsi="Arial" w:cs="Arial"/>
              </w:rPr>
              <w:t>BMI, Body mass index</w:t>
            </w:r>
            <w:bookmarkEnd w:id="15"/>
            <w:r w:rsidRPr="00F06A6D">
              <w:rPr>
                <w:rFonts w:ascii="Arial" w:hAnsi="Arial" w:cs="Arial"/>
              </w:rPr>
              <w:t>.</w:t>
            </w:r>
          </w:p>
        </w:tc>
      </w:tr>
    </w:tbl>
    <w:p w14:paraId="5AEC921B" w14:textId="77777777" w:rsidR="008427FA" w:rsidRPr="00F06A6D" w:rsidRDefault="008427FA" w:rsidP="00F06A6D">
      <w:pPr>
        <w:rPr>
          <w:rFonts w:ascii="Arial" w:hAnsi="Arial" w:cs="Arial"/>
        </w:rPr>
      </w:pPr>
    </w:p>
    <w:p w14:paraId="40ADEEC0" w14:textId="77777777" w:rsidR="008427FA" w:rsidRPr="007244F0" w:rsidRDefault="008427FA" w:rsidP="008427FA">
      <w:pPr>
        <w:rPr>
          <w:rFonts w:ascii="Arial" w:hAnsi="Arial" w:cs="Arial"/>
        </w:rPr>
      </w:pPr>
    </w:p>
    <w:p w14:paraId="6BAD0687" w14:textId="77777777" w:rsidR="008427FA" w:rsidRPr="007244F0" w:rsidRDefault="008427FA" w:rsidP="008427FA">
      <w:pPr>
        <w:rPr>
          <w:rFonts w:ascii="Arial" w:hAnsi="Arial" w:cs="Arial"/>
        </w:rPr>
      </w:pPr>
    </w:p>
    <w:p w14:paraId="67E04D85" w14:textId="77777777" w:rsidR="008427FA" w:rsidRPr="007244F0" w:rsidRDefault="008427FA" w:rsidP="008427FA">
      <w:pPr>
        <w:rPr>
          <w:rFonts w:ascii="Arial" w:hAnsi="Arial" w:cs="Arial"/>
        </w:rPr>
      </w:pPr>
    </w:p>
    <w:p w14:paraId="230AD77C" w14:textId="77777777" w:rsidR="008427FA" w:rsidRPr="007244F0" w:rsidRDefault="008427FA" w:rsidP="008427FA">
      <w:pPr>
        <w:rPr>
          <w:rFonts w:ascii="Arial" w:hAnsi="Arial" w:cs="Arial"/>
        </w:rPr>
      </w:pPr>
    </w:p>
    <w:p w14:paraId="71F986A9" w14:textId="77777777" w:rsidR="008427FA" w:rsidRPr="007244F0" w:rsidRDefault="008427FA" w:rsidP="008427FA">
      <w:pPr>
        <w:rPr>
          <w:rFonts w:ascii="Arial" w:hAnsi="Arial" w:cs="Arial"/>
        </w:rPr>
      </w:pPr>
    </w:p>
    <w:p w14:paraId="0CB000B3" w14:textId="77777777" w:rsidR="008427FA" w:rsidRPr="007244F0" w:rsidRDefault="008427FA" w:rsidP="008427FA">
      <w:pPr>
        <w:rPr>
          <w:rFonts w:ascii="Arial" w:hAnsi="Arial" w:cs="Arial"/>
        </w:rPr>
      </w:pPr>
    </w:p>
    <w:p w14:paraId="5AAA730B" w14:textId="77777777" w:rsidR="008427FA" w:rsidRPr="007244F0" w:rsidRDefault="008427FA" w:rsidP="008427FA">
      <w:pPr>
        <w:rPr>
          <w:rFonts w:ascii="Arial" w:hAnsi="Arial" w:cs="Arial"/>
        </w:rPr>
      </w:pPr>
    </w:p>
    <w:p w14:paraId="580C6362" w14:textId="77777777" w:rsidR="008427FA" w:rsidRPr="007244F0" w:rsidRDefault="008427FA" w:rsidP="008427FA">
      <w:pPr>
        <w:rPr>
          <w:rFonts w:ascii="Arial" w:hAnsi="Arial" w:cs="Arial"/>
        </w:rPr>
      </w:pPr>
    </w:p>
    <w:p w14:paraId="6E4D8023" w14:textId="77777777" w:rsidR="008427FA" w:rsidRPr="007244F0" w:rsidRDefault="008427FA" w:rsidP="008427FA">
      <w:pPr>
        <w:rPr>
          <w:rFonts w:ascii="Arial" w:hAnsi="Arial" w:cs="Arial"/>
        </w:rPr>
      </w:pPr>
    </w:p>
    <w:p w14:paraId="2E39C13E" w14:textId="77777777" w:rsidR="008427FA" w:rsidRPr="007244F0" w:rsidRDefault="008427FA" w:rsidP="008427FA">
      <w:pPr>
        <w:rPr>
          <w:rFonts w:ascii="Arial" w:hAnsi="Arial" w:cs="Arial"/>
        </w:rPr>
      </w:pPr>
    </w:p>
    <w:p w14:paraId="78B72B2E" w14:textId="77777777" w:rsidR="008427FA" w:rsidRPr="007244F0" w:rsidRDefault="008427FA" w:rsidP="008427FA">
      <w:pPr>
        <w:rPr>
          <w:rFonts w:ascii="Arial" w:hAnsi="Arial" w:cs="Arial"/>
        </w:rPr>
      </w:pPr>
    </w:p>
    <w:p w14:paraId="260084BD" w14:textId="77777777" w:rsidR="008427FA" w:rsidRPr="007244F0" w:rsidRDefault="008427FA" w:rsidP="008427FA">
      <w:pPr>
        <w:rPr>
          <w:rFonts w:ascii="Arial" w:hAnsi="Arial" w:cs="Arial"/>
        </w:rPr>
      </w:pPr>
    </w:p>
    <w:p w14:paraId="7CF11867" w14:textId="77777777" w:rsidR="008427FA" w:rsidRPr="007244F0" w:rsidRDefault="008427FA" w:rsidP="008427FA">
      <w:pPr>
        <w:rPr>
          <w:rFonts w:ascii="Arial" w:hAnsi="Arial" w:cs="Arial"/>
        </w:rPr>
      </w:pPr>
    </w:p>
    <w:p w14:paraId="48422E24" w14:textId="77777777" w:rsidR="008427FA" w:rsidRPr="007244F0" w:rsidRDefault="008427FA" w:rsidP="008427FA">
      <w:pPr>
        <w:rPr>
          <w:rFonts w:ascii="Arial" w:hAnsi="Arial" w:cs="Arial"/>
        </w:rPr>
      </w:pPr>
    </w:p>
    <w:p w14:paraId="2DF0E555" w14:textId="77777777" w:rsidR="008427FA" w:rsidRPr="007244F0" w:rsidRDefault="008427FA" w:rsidP="008427FA">
      <w:pPr>
        <w:rPr>
          <w:rFonts w:ascii="Arial" w:hAnsi="Arial" w:cs="Arial"/>
        </w:rPr>
      </w:pPr>
    </w:p>
    <w:p w14:paraId="0D9AC7F2" w14:textId="77777777" w:rsidR="008427FA" w:rsidRPr="007244F0" w:rsidRDefault="008427FA" w:rsidP="008427FA">
      <w:pPr>
        <w:rPr>
          <w:rFonts w:ascii="Arial" w:hAnsi="Arial" w:cs="Arial"/>
        </w:rPr>
      </w:pPr>
    </w:p>
    <w:p w14:paraId="05F54F22" w14:textId="77777777" w:rsidR="008427FA" w:rsidRPr="007244F0" w:rsidRDefault="008427FA" w:rsidP="008427FA">
      <w:pPr>
        <w:rPr>
          <w:rFonts w:ascii="Arial" w:hAnsi="Arial" w:cs="Arial"/>
        </w:rPr>
      </w:pPr>
    </w:p>
    <w:p w14:paraId="2EE97204" w14:textId="77777777" w:rsidR="008427FA" w:rsidRPr="007244F0" w:rsidRDefault="008427FA" w:rsidP="008427FA">
      <w:pPr>
        <w:rPr>
          <w:rFonts w:ascii="Arial" w:hAnsi="Arial" w:cs="Arial"/>
        </w:rPr>
      </w:pPr>
    </w:p>
    <w:p w14:paraId="4CC7D2CD" w14:textId="77777777" w:rsidR="008427FA" w:rsidRPr="007244F0" w:rsidRDefault="008427FA" w:rsidP="008427FA">
      <w:pPr>
        <w:rPr>
          <w:rFonts w:ascii="Arial" w:hAnsi="Arial" w:cs="Arial"/>
        </w:rPr>
      </w:pPr>
    </w:p>
    <w:p w14:paraId="28EEEA06" w14:textId="77777777" w:rsidR="008427FA" w:rsidRPr="007244F0" w:rsidRDefault="008427FA" w:rsidP="008427FA">
      <w:pPr>
        <w:rPr>
          <w:rFonts w:ascii="Arial" w:hAnsi="Arial" w:cs="Arial"/>
        </w:rPr>
      </w:pPr>
    </w:p>
    <w:p w14:paraId="484FA34F" w14:textId="77777777" w:rsidR="00830A4D" w:rsidRPr="007244F0" w:rsidRDefault="00830A4D">
      <w:pPr>
        <w:rPr>
          <w:rFonts w:ascii="Arial" w:hAnsi="Arial" w:cs="Arial"/>
        </w:rPr>
      </w:pPr>
    </w:p>
    <w:sectPr w:rsidR="00830A4D" w:rsidRPr="00724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7FA"/>
    <w:rsid w:val="0028124D"/>
    <w:rsid w:val="00376B39"/>
    <w:rsid w:val="004E09DD"/>
    <w:rsid w:val="00577D14"/>
    <w:rsid w:val="0059699D"/>
    <w:rsid w:val="007244F0"/>
    <w:rsid w:val="00830A4D"/>
    <w:rsid w:val="008427FA"/>
    <w:rsid w:val="008660AE"/>
    <w:rsid w:val="008953CF"/>
    <w:rsid w:val="009A582D"/>
    <w:rsid w:val="009D79DB"/>
    <w:rsid w:val="00A85759"/>
    <w:rsid w:val="00A8751A"/>
    <w:rsid w:val="00BC73E4"/>
    <w:rsid w:val="00BE6A8A"/>
    <w:rsid w:val="00D56368"/>
    <w:rsid w:val="00DD0D64"/>
    <w:rsid w:val="00F06A6D"/>
    <w:rsid w:val="00F6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AEC6A"/>
  <w15:chartTrackingRefBased/>
  <w15:docId w15:val="{848FD58E-9544-4247-B3C9-4382460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Theme="minorEastAsia" w:hAnsi="Atlas Grotesk Regular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3B2FA3-0FF8-4077-8934-B30CFC89774E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F4BC9F3-4EA3-4246-B2B4-D9D9956BF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782C8B-C7D9-438D-9A09-05F13521BA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2603</Characters>
  <Application>Microsoft Office Word</Application>
  <DocSecurity>0</DocSecurity>
  <Lines>37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Kelly</dc:creator>
  <cp:keywords/>
  <dc:description/>
  <cp:lastModifiedBy>Tanya Yandall</cp:lastModifiedBy>
  <cp:revision>3</cp:revision>
  <dcterms:created xsi:type="dcterms:W3CDTF">2026-02-15T22:46:00Z</dcterms:created>
  <dcterms:modified xsi:type="dcterms:W3CDTF">2026-02-15T22:47:00Z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