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558DB519" w14:textId="21A367B1" w:rsidR="001D0FD5" w:rsidRPr="00133E92" w:rsidRDefault="00133E92" w:rsidP="00706DED">
            <w:pPr>
              <w:jc w:val="both"/>
              <w:rPr>
                <w:rFonts w:ascii="Arial" w:hAnsi="Arial" w:cs="Arial"/>
                <w:bCs/>
                <w:i/>
                <w:iCs/>
                <w:sz w:val="22"/>
                <w:szCs w:val="22"/>
              </w:rPr>
            </w:pPr>
            <w:r w:rsidRPr="00133E92">
              <w:rPr>
                <w:rFonts w:ascii="Arial" w:hAnsi="Arial" w:cs="Arial"/>
                <w:bCs/>
                <w:i/>
                <w:iCs/>
                <w:sz w:val="22"/>
                <w:szCs w:val="22"/>
              </w:rPr>
              <w:t>Paper</w:t>
            </w:r>
          </w:p>
          <w:p w14:paraId="3C218A9D" w14:textId="5B9322E9" w:rsidR="001D0FD5" w:rsidRPr="00133E92" w:rsidRDefault="001D0FD5" w:rsidP="004306A2">
            <w:pPr>
              <w:rPr>
                <w:rFonts w:ascii="Arial" w:hAnsi="Arial" w:cs="Arial"/>
                <w:b/>
                <w:bCs/>
                <w:sz w:val="22"/>
                <w:szCs w:val="22"/>
              </w:rPr>
            </w:pPr>
            <w:r w:rsidRPr="00133E92">
              <w:rPr>
                <w:rFonts w:ascii="Arial" w:hAnsi="Arial" w:cs="Arial"/>
                <w:b/>
                <w:bCs/>
                <w:sz w:val="22"/>
                <w:szCs w:val="22"/>
                <w:lang w:val="en-CA"/>
              </w:rPr>
              <w:t>An International Comparison of Environmental Justice Preferences in Urban Climate Adaptation Flood Policy</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5B83AD76" w14:textId="35673C38" w:rsidR="00C8423A" w:rsidRDefault="00C8423A" w:rsidP="00706DED">
            <w:pPr>
              <w:jc w:val="both"/>
              <w:rPr>
                <w:rFonts w:ascii="Arial" w:hAnsi="Arial" w:cs="Arial"/>
                <w:bCs/>
                <w:sz w:val="22"/>
                <w:szCs w:val="22"/>
              </w:rPr>
            </w:pPr>
          </w:p>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5AB467C1" w:rsidR="0065012F" w:rsidRPr="001D0FD5" w:rsidRDefault="001D0FD5" w:rsidP="001D0FD5">
            <w:pPr>
              <w:rPr>
                <w:rFonts w:ascii="Arial" w:hAnsi="Arial" w:cs="Arial"/>
                <w:bCs/>
                <w:sz w:val="22"/>
                <w:szCs w:val="22"/>
                <w:lang w:val="en-US"/>
              </w:rPr>
            </w:pPr>
            <w:r w:rsidRPr="001D0FD5">
              <w:rPr>
                <w:rFonts w:ascii="Arial" w:hAnsi="Arial" w:cs="Arial"/>
                <w:bCs/>
                <w:sz w:val="22"/>
                <w:szCs w:val="22"/>
                <w:lang w:val="en-US"/>
              </w:rPr>
              <w:t>In this time of escalating climate crises, there is a pressing need to develop more transformative policies that minimize disproportionate harm and distribute benefits equitably. However, little is currently known about what influences the public’s preferences for or against such policies.</w:t>
            </w:r>
          </w:p>
          <w:p w14:paraId="4FF720C6" w14:textId="77777777" w:rsidR="001D0FD5" w:rsidRDefault="001D0FD5" w:rsidP="00706DED">
            <w:pPr>
              <w:jc w:val="both"/>
              <w:rPr>
                <w:rFonts w:ascii="Arial" w:hAnsi="Arial" w:cs="Arial"/>
                <w:b/>
                <w:sz w:val="22"/>
                <w:szCs w:val="22"/>
              </w:rPr>
            </w:pPr>
          </w:p>
          <w:p w14:paraId="5DE13B32" w14:textId="77777777" w:rsidR="0065012F" w:rsidRPr="001D0FD5" w:rsidRDefault="0065012F" w:rsidP="00706DED">
            <w:pPr>
              <w:jc w:val="both"/>
              <w:rPr>
                <w:rFonts w:ascii="Arial" w:hAnsi="Arial" w:cs="Arial"/>
                <w:bCs/>
                <w:sz w:val="22"/>
                <w:szCs w:val="22"/>
              </w:rPr>
            </w:pPr>
            <w:r>
              <w:rPr>
                <w:rFonts w:ascii="Arial" w:hAnsi="Arial" w:cs="Arial"/>
                <w:b/>
                <w:sz w:val="22"/>
                <w:szCs w:val="22"/>
              </w:rPr>
              <w:t>O</w:t>
            </w:r>
            <w:r w:rsidRPr="0065012F">
              <w:rPr>
                <w:rFonts w:ascii="Arial" w:hAnsi="Arial" w:cs="Arial"/>
                <w:b/>
                <w:sz w:val="22"/>
                <w:szCs w:val="22"/>
              </w:rPr>
              <w:t>bjectives</w:t>
            </w:r>
          </w:p>
          <w:p w14:paraId="7E9D2DFF" w14:textId="319AC594" w:rsidR="001D0FD5" w:rsidRPr="001D0FD5" w:rsidRDefault="001D0FD5" w:rsidP="001D0FD5">
            <w:pPr>
              <w:rPr>
                <w:rFonts w:ascii="Arial" w:hAnsi="Arial" w:cs="Arial"/>
                <w:bCs/>
                <w:sz w:val="22"/>
                <w:szCs w:val="22"/>
                <w:lang w:val="en-US"/>
              </w:rPr>
            </w:pPr>
            <w:r w:rsidRPr="001D0FD5">
              <w:rPr>
                <w:rFonts w:ascii="Arial" w:hAnsi="Arial" w:cs="Arial"/>
                <w:bCs/>
                <w:sz w:val="22"/>
                <w:szCs w:val="22"/>
                <w:lang w:val="en-US"/>
              </w:rPr>
              <w:t xml:space="preserve">This presentation will share results from a two-part study that examined a comprehensive set of justice values underlying urban flood policy preferences. In </w:t>
            </w:r>
            <w:r w:rsidRPr="001D0FD5">
              <w:rPr>
                <w:rFonts w:ascii="Arial" w:hAnsi="Arial" w:cs="Arial"/>
                <w:bCs/>
                <w:i/>
                <w:iCs/>
                <w:sz w:val="22"/>
                <w:szCs w:val="22"/>
                <w:lang w:val="en-US"/>
              </w:rPr>
              <w:t>Study 1</w:t>
            </w:r>
            <w:r w:rsidRPr="001D0FD5">
              <w:rPr>
                <w:rFonts w:ascii="Arial" w:hAnsi="Arial" w:cs="Arial"/>
                <w:bCs/>
                <w:sz w:val="22"/>
                <w:szCs w:val="22"/>
                <w:lang w:val="en-US"/>
              </w:rPr>
              <w:t>, an online survey of residents was implemented in five cities globally. We examined which psychological and other respondent characteristics influence urban residents’ (1) worry about climate change, (2) understandings of environmental injustice, and (3) preferences for climate adaptation policies – and whether results vary across distinct global</w:t>
            </w:r>
            <w:r>
              <w:rPr>
                <w:rFonts w:ascii="Arial" w:hAnsi="Arial" w:cs="Arial"/>
                <w:bCs/>
                <w:sz w:val="22"/>
                <w:szCs w:val="22"/>
                <w:lang w:val="en-US"/>
              </w:rPr>
              <w:t xml:space="preserve"> </w:t>
            </w:r>
            <w:r w:rsidRPr="001D0FD5">
              <w:rPr>
                <w:rFonts w:ascii="Arial" w:hAnsi="Arial" w:cs="Arial"/>
                <w:bCs/>
                <w:sz w:val="22"/>
                <w:szCs w:val="22"/>
                <w:lang w:val="en-US"/>
              </w:rPr>
              <w:t xml:space="preserve">locations. </w:t>
            </w:r>
            <w:r w:rsidRPr="001D0FD5">
              <w:rPr>
                <w:rFonts w:ascii="Arial" w:hAnsi="Arial" w:cs="Arial"/>
                <w:bCs/>
                <w:sz w:val="22"/>
                <w:szCs w:val="22"/>
                <w:lang w:val="en-US"/>
              </w:rPr>
              <w:br/>
            </w:r>
          </w:p>
          <w:p w14:paraId="7DF7D437" w14:textId="600956C8" w:rsidR="0065012F" w:rsidRPr="0094092B" w:rsidRDefault="001D0FD5" w:rsidP="0094092B">
            <w:pPr>
              <w:rPr>
                <w:rFonts w:ascii="Arial" w:hAnsi="Arial" w:cs="Arial"/>
                <w:bCs/>
                <w:sz w:val="22"/>
                <w:szCs w:val="22"/>
                <w:lang w:val="en-US"/>
              </w:rPr>
            </w:pPr>
            <w:r w:rsidRPr="001D0FD5">
              <w:rPr>
                <w:rFonts w:ascii="Arial" w:hAnsi="Arial" w:cs="Arial"/>
                <w:bCs/>
                <w:sz w:val="22"/>
                <w:szCs w:val="22"/>
                <w:lang w:val="en-US"/>
              </w:rPr>
              <w:t xml:space="preserve">We found strong similarities in results across </w:t>
            </w:r>
            <w:proofErr w:type="gramStart"/>
            <w:r w:rsidRPr="001D0FD5">
              <w:rPr>
                <w:rFonts w:ascii="Arial" w:hAnsi="Arial" w:cs="Arial"/>
                <w:bCs/>
                <w:sz w:val="22"/>
                <w:szCs w:val="22"/>
                <w:lang w:val="en-US"/>
              </w:rPr>
              <w:t>all of</w:t>
            </w:r>
            <w:proofErr w:type="gramEnd"/>
            <w:r w:rsidRPr="001D0FD5">
              <w:rPr>
                <w:rFonts w:ascii="Arial" w:hAnsi="Arial" w:cs="Arial"/>
                <w:bCs/>
                <w:sz w:val="22"/>
                <w:szCs w:val="22"/>
                <w:lang w:val="en-US"/>
              </w:rPr>
              <w:t xml:space="preserve"> our cities, including that certain political/economic identities were the most consistent predictors of our outcome variables. We also found parallel gaps across locations in participants’ understanding of environmental injustice concepts. Thus, in </w:t>
            </w:r>
            <w:r w:rsidRPr="001D0FD5">
              <w:rPr>
                <w:rFonts w:ascii="Arial" w:hAnsi="Arial" w:cs="Arial"/>
                <w:bCs/>
                <w:i/>
                <w:iCs/>
                <w:sz w:val="22"/>
                <w:szCs w:val="22"/>
                <w:lang w:val="en-US"/>
              </w:rPr>
              <w:t>Study 2</w:t>
            </w:r>
            <w:r w:rsidRPr="001D0FD5">
              <w:rPr>
                <w:rFonts w:ascii="Arial" w:hAnsi="Arial" w:cs="Arial"/>
                <w:bCs/>
                <w:sz w:val="22"/>
                <w:szCs w:val="22"/>
                <w:lang w:val="en-US"/>
              </w:rPr>
              <w:t xml:space="preserve"> we extended the survey to policymakers in one of our metropolitan areas </w:t>
            </w:r>
            <w:proofErr w:type="gramStart"/>
            <w:r w:rsidRPr="001D0FD5">
              <w:rPr>
                <w:rFonts w:ascii="Arial" w:hAnsi="Arial" w:cs="Arial"/>
                <w:bCs/>
                <w:sz w:val="22"/>
                <w:szCs w:val="22"/>
                <w:lang w:val="en-US"/>
              </w:rPr>
              <w:t>in order to</w:t>
            </w:r>
            <w:proofErr w:type="gramEnd"/>
            <w:r w:rsidRPr="001D0FD5">
              <w:rPr>
                <w:rFonts w:ascii="Arial" w:hAnsi="Arial" w:cs="Arial"/>
                <w:bCs/>
                <w:sz w:val="22"/>
                <w:szCs w:val="22"/>
                <w:lang w:val="en-US"/>
              </w:rPr>
              <w:t xml:space="preserve"> compare results between policy experts and laypeople.</w:t>
            </w:r>
          </w:p>
          <w:p w14:paraId="6FFF232B" w14:textId="77777777" w:rsidR="001D0FD5" w:rsidRDefault="001D0FD5" w:rsidP="00706DED">
            <w:pPr>
              <w:jc w:val="both"/>
              <w:rPr>
                <w:rFonts w:ascii="Arial" w:hAnsi="Arial" w:cs="Arial"/>
                <w:b/>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4EA63C07" w14:textId="059ED39F" w:rsidR="0094092B" w:rsidRPr="0094092B" w:rsidRDefault="0094092B" w:rsidP="00EF0893">
            <w:pPr>
              <w:rPr>
                <w:rFonts w:ascii="Arial" w:hAnsi="Arial" w:cs="Arial"/>
                <w:bCs/>
                <w:sz w:val="22"/>
                <w:szCs w:val="22"/>
                <w:lang w:val="en-US"/>
              </w:rPr>
            </w:pPr>
            <w:r w:rsidRPr="0094092B">
              <w:rPr>
                <w:rFonts w:ascii="Arial" w:hAnsi="Arial" w:cs="Arial"/>
                <w:bCs/>
                <w:sz w:val="22"/>
                <w:szCs w:val="22"/>
                <w:lang w:val="en-US"/>
              </w:rPr>
              <w:t xml:space="preserve">For </w:t>
            </w:r>
            <w:r w:rsidRPr="0094092B">
              <w:rPr>
                <w:rFonts w:ascii="Arial" w:hAnsi="Arial" w:cs="Arial"/>
                <w:bCs/>
                <w:i/>
                <w:iCs/>
                <w:sz w:val="22"/>
                <w:szCs w:val="22"/>
                <w:lang w:val="en-US"/>
              </w:rPr>
              <w:t>Study 1</w:t>
            </w:r>
            <w:r w:rsidRPr="0094092B">
              <w:rPr>
                <w:rFonts w:ascii="Arial" w:hAnsi="Arial" w:cs="Arial"/>
                <w:bCs/>
                <w:sz w:val="22"/>
                <w:szCs w:val="22"/>
                <w:lang w:val="en-US"/>
              </w:rPr>
              <w:t>, our online survey was translated and administered in 5 cities globally (</w:t>
            </w:r>
            <w:r w:rsidRPr="0094092B">
              <w:rPr>
                <w:rFonts w:ascii="Arial" w:hAnsi="Arial" w:cs="Arial"/>
                <w:bCs/>
                <w:i/>
                <w:iCs/>
                <w:sz w:val="22"/>
                <w:szCs w:val="22"/>
                <w:lang w:val="en-US"/>
              </w:rPr>
              <w:t>n</w:t>
            </w:r>
            <w:r w:rsidRPr="0094092B">
              <w:rPr>
                <w:rFonts w:ascii="Arial" w:hAnsi="Arial" w:cs="Arial"/>
                <w:bCs/>
                <w:sz w:val="22"/>
                <w:szCs w:val="22"/>
                <w:lang w:val="en-US"/>
              </w:rPr>
              <w:t xml:space="preserve">=650 residents per city): Buenos Aires, Johannesburg, London, New York City, and Seoul. In </w:t>
            </w:r>
            <w:r w:rsidRPr="0094092B">
              <w:rPr>
                <w:rFonts w:ascii="Arial" w:hAnsi="Arial" w:cs="Arial"/>
                <w:bCs/>
                <w:i/>
                <w:iCs/>
                <w:sz w:val="22"/>
                <w:szCs w:val="22"/>
                <w:lang w:val="en-US"/>
              </w:rPr>
              <w:t>Study 2</w:t>
            </w:r>
            <w:r w:rsidRPr="0094092B">
              <w:rPr>
                <w:rFonts w:ascii="Arial" w:hAnsi="Arial" w:cs="Arial"/>
                <w:bCs/>
                <w:sz w:val="22"/>
                <w:szCs w:val="22"/>
                <w:lang w:val="en-US"/>
              </w:rPr>
              <w:t>, we extended the survey to two new populations: New Jersey residents (</w:t>
            </w:r>
            <w:r w:rsidRPr="0094092B">
              <w:rPr>
                <w:rFonts w:ascii="Arial" w:hAnsi="Arial" w:cs="Arial"/>
                <w:bCs/>
                <w:i/>
                <w:iCs/>
                <w:sz w:val="22"/>
                <w:szCs w:val="22"/>
                <w:lang w:val="en-US"/>
              </w:rPr>
              <w:t>n</w:t>
            </w:r>
            <w:r w:rsidRPr="0094092B">
              <w:rPr>
                <w:rFonts w:ascii="Arial" w:hAnsi="Arial" w:cs="Arial"/>
                <w:bCs/>
                <w:sz w:val="22"/>
                <w:szCs w:val="22"/>
                <w:lang w:val="en-US"/>
              </w:rPr>
              <w:t>=650) and New Jersey, New York State, and New York City policymakers (</w:t>
            </w:r>
            <w:r w:rsidRPr="0094092B">
              <w:rPr>
                <w:rFonts w:ascii="Arial" w:hAnsi="Arial" w:cs="Arial"/>
                <w:bCs/>
                <w:i/>
                <w:iCs/>
                <w:sz w:val="22"/>
                <w:szCs w:val="22"/>
                <w:lang w:val="en-US"/>
              </w:rPr>
              <w:t>n</w:t>
            </w:r>
            <w:r w:rsidRPr="0094092B">
              <w:rPr>
                <w:rFonts w:ascii="Arial" w:hAnsi="Arial" w:cs="Arial"/>
                <w:bCs/>
                <w:sz w:val="22"/>
                <w:szCs w:val="22"/>
                <w:lang w:val="en-US"/>
              </w:rPr>
              <w:t>=200). </w:t>
            </w:r>
          </w:p>
          <w:p w14:paraId="015EFC6C" w14:textId="77777777" w:rsidR="0065012F" w:rsidRDefault="0065012F" w:rsidP="00706DED">
            <w:pPr>
              <w:jc w:val="both"/>
              <w:rPr>
                <w:rFonts w:ascii="Arial" w:hAnsi="Arial" w:cs="Arial"/>
                <w:b/>
                <w:sz w:val="22"/>
                <w:szCs w:val="22"/>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10EA94AE" w14:textId="43856A6E" w:rsidR="00A33932" w:rsidRPr="00A33932" w:rsidRDefault="00A33932" w:rsidP="00EF0893">
            <w:pPr>
              <w:rPr>
                <w:rFonts w:ascii="Arial" w:hAnsi="Arial" w:cs="Arial"/>
                <w:bCs/>
                <w:sz w:val="22"/>
                <w:szCs w:val="22"/>
                <w:lang w:val="en-US"/>
              </w:rPr>
            </w:pPr>
            <w:r w:rsidRPr="00A33932">
              <w:rPr>
                <w:rFonts w:ascii="Arial" w:hAnsi="Arial" w:cs="Arial"/>
                <w:bCs/>
                <w:sz w:val="22"/>
                <w:szCs w:val="22"/>
                <w:lang w:val="en-US"/>
              </w:rPr>
              <w:t xml:space="preserve">The outcome measure </w:t>
            </w:r>
            <w:r w:rsidRPr="00A33932">
              <w:rPr>
                <w:rFonts w:ascii="Arial" w:hAnsi="Arial" w:cs="Arial"/>
                <w:bCs/>
                <w:i/>
                <w:iCs/>
                <w:sz w:val="22"/>
                <w:szCs w:val="22"/>
                <w:lang w:val="en-US"/>
              </w:rPr>
              <w:t>Worry about climate change</w:t>
            </w:r>
            <w:r w:rsidRPr="00A33932">
              <w:rPr>
                <w:rFonts w:ascii="Arial" w:hAnsi="Arial" w:cs="Arial"/>
                <w:bCs/>
                <w:sz w:val="22"/>
                <w:szCs w:val="22"/>
                <w:lang w:val="en-US"/>
              </w:rPr>
              <w:t xml:space="preserve"> was significantly predicted </w:t>
            </w:r>
            <w:r w:rsidR="00EF0893">
              <w:rPr>
                <w:rFonts w:ascii="Arial" w:hAnsi="Arial" w:cs="Arial"/>
                <w:bCs/>
                <w:sz w:val="22"/>
                <w:szCs w:val="22"/>
                <w:lang w:val="en-US"/>
              </w:rPr>
              <w:t xml:space="preserve">for residents of </w:t>
            </w:r>
            <w:r w:rsidRPr="00A33932">
              <w:rPr>
                <w:rFonts w:ascii="Arial" w:hAnsi="Arial" w:cs="Arial"/>
                <w:bCs/>
                <w:sz w:val="22"/>
                <w:szCs w:val="22"/>
                <w:lang w:val="en-US"/>
              </w:rPr>
              <w:t>each city and for our survey</w:t>
            </w:r>
            <w:r w:rsidR="00EF0893">
              <w:rPr>
                <w:rFonts w:ascii="Arial" w:hAnsi="Arial" w:cs="Arial"/>
                <w:bCs/>
                <w:sz w:val="22"/>
                <w:szCs w:val="22"/>
                <w:lang w:val="en-US"/>
              </w:rPr>
              <w:t>ed</w:t>
            </w:r>
            <w:r w:rsidRPr="00A33932">
              <w:rPr>
                <w:rFonts w:ascii="Arial" w:hAnsi="Arial" w:cs="Arial"/>
                <w:bCs/>
                <w:sz w:val="22"/>
                <w:szCs w:val="22"/>
                <w:lang w:val="en-US"/>
              </w:rPr>
              <w:t xml:space="preserve"> policymakers by stronger pro-environmental views. Next, a key pattern emerged for the two subsequent outcomes measures (</w:t>
            </w:r>
            <w:r w:rsidRPr="00A33932">
              <w:rPr>
                <w:rFonts w:ascii="Arial" w:hAnsi="Arial" w:cs="Arial"/>
                <w:bCs/>
                <w:i/>
                <w:iCs/>
                <w:sz w:val="22"/>
                <w:szCs w:val="22"/>
                <w:lang w:val="en-US"/>
              </w:rPr>
              <w:t>Perceptions of which categories of people are vulnerable to flooding</w:t>
            </w:r>
            <w:r w:rsidRPr="00A33932">
              <w:rPr>
                <w:rFonts w:ascii="Arial" w:hAnsi="Arial" w:cs="Arial"/>
                <w:bCs/>
                <w:sz w:val="22"/>
                <w:szCs w:val="22"/>
                <w:lang w:val="en-US"/>
              </w:rPr>
              <w:t xml:space="preserve"> and </w:t>
            </w:r>
            <w:r w:rsidRPr="00A33932">
              <w:rPr>
                <w:rFonts w:ascii="Arial" w:hAnsi="Arial" w:cs="Arial"/>
                <w:bCs/>
                <w:i/>
                <w:iCs/>
                <w:sz w:val="22"/>
                <w:szCs w:val="22"/>
                <w:lang w:val="en-US"/>
              </w:rPr>
              <w:t>Preferences for types of recipients of reparative assistance</w:t>
            </w:r>
            <w:r w:rsidRPr="00A33932">
              <w:rPr>
                <w:rFonts w:ascii="Arial" w:hAnsi="Arial" w:cs="Arial"/>
                <w:bCs/>
                <w:sz w:val="22"/>
                <w:szCs w:val="22"/>
                <w:lang w:val="en-US"/>
              </w:rPr>
              <w:t xml:space="preserve">): laypeople in all cities found certain demographic characteristics of others (e.g., people with disabilities or who are low-income) more intuitively vulnerable and more deserving of reparative assistance than other characteristics (e.g., racial/ethnic minorities). However, the surveyed policymakers had broader conceptualizations of vulnerability. Finally, when presented with a conjoint task offering a range of </w:t>
            </w:r>
            <w:r w:rsidRPr="00A33932">
              <w:rPr>
                <w:rFonts w:ascii="Arial" w:hAnsi="Arial" w:cs="Arial"/>
                <w:bCs/>
                <w:i/>
                <w:iCs/>
                <w:sz w:val="22"/>
                <w:szCs w:val="22"/>
                <w:lang w:val="en-US"/>
              </w:rPr>
              <w:t>Justice-oriented flood adaptation policies</w:t>
            </w:r>
            <w:r w:rsidRPr="00A33932">
              <w:rPr>
                <w:rFonts w:ascii="Arial" w:hAnsi="Arial" w:cs="Arial"/>
                <w:bCs/>
                <w:sz w:val="22"/>
                <w:szCs w:val="22"/>
                <w:lang w:val="en-US"/>
              </w:rPr>
              <w:t xml:space="preserve">, laypeople in all cities and the surveyed policymakers were in favor of most policies – but they also typically had concerns about the potential costs and political feasibility of these policies. In </w:t>
            </w:r>
            <w:proofErr w:type="gramStart"/>
            <w:r w:rsidRPr="00A33932">
              <w:rPr>
                <w:rFonts w:ascii="Arial" w:hAnsi="Arial" w:cs="Arial"/>
                <w:bCs/>
                <w:sz w:val="22"/>
                <w:szCs w:val="22"/>
                <w:lang w:val="en-US"/>
              </w:rPr>
              <w:t>sum</w:t>
            </w:r>
            <w:proofErr w:type="gramEnd"/>
            <w:r w:rsidRPr="00A33932">
              <w:rPr>
                <w:rFonts w:ascii="Arial" w:hAnsi="Arial" w:cs="Arial"/>
                <w:bCs/>
                <w:sz w:val="22"/>
                <w:szCs w:val="22"/>
                <w:lang w:val="en-US"/>
              </w:rPr>
              <w:t xml:space="preserve">, we find similar patterns among lay participants </w:t>
            </w:r>
            <w:r w:rsidRPr="00A33932">
              <w:rPr>
                <w:rFonts w:ascii="Arial" w:hAnsi="Arial" w:cs="Arial"/>
                <w:bCs/>
                <w:sz w:val="22"/>
                <w:szCs w:val="22"/>
                <w:lang w:val="en-US"/>
              </w:rPr>
              <w:lastRenderedPageBreak/>
              <w:t>from wide-ranging locations globally. However, we find a critical distinction between laypeople and policymakers in their perceptions of demographic vulnerabilities and reparative solutions.</w:t>
            </w:r>
          </w:p>
          <w:p w14:paraId="26DC99F1" w14:textId="77777777" w:rsidR="0065012F" w:rsidRDefault="0065012F" w:rsidP="00706DED">
            <w:pPr>
              <w:jc w:val="both"/>
              <w:rPr>
                <w:rFonts w:ascii="Arial" w:hAnsi="Arial" w:cs="Arial"/>
                <w:b/>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4D7B65A8" w14:textId="7B99D97B" w:rsidR="00BE58D6" w:rsidRPr="006844BF" w:rsidRDefault="006844BF" w:rsidP="006844BF">
            <w:pPr>
              <w:rPr>
                <w:rFonts w:ascii="Arial" w:hAnsi="Arial" w:cs="Arial"/>
                <w:bCs/>
                <w:sz w:val="22"/>
                <w:szCs w:val="22"/>
                <w:lang w:val="en-US"/>
              </w:rPr>
            </w:pPr>
            <w:r w:rsidRPr="006844BF">
              <w:rPr>
                <w:rFonts w:ascii="Arial" w:hAnsi="Arial" w:cs="Arial"/>
                <w:bCs/>
                <w:sz w:val="22"/>
                <w:szCs w:val="22"/>
                <w:lang w:val="en-US"/>
              </w:rPr>
              <w:t xml:space="preserve">Taken together, </w:t>
            </w:r>
            <w:r w:rsidRPr="006844BF">
              <w:rPr>
                <w:rFonts w:ascii="Arial" w:hAnsi="Arial" w:cs="Arial"/>
                <w:bCs/>
                <w:i/>
                <w:iCs/>
                <w:sz w:val="22"/>
                <w:szCs w:val="22"/>
                <w:lang w:val="en-US"/>
              </w:rPr>
              <w:t>Studies 1 &amp; 2</w:t>
            </w:r>
            <w:r w:rsidRPr="006844BF">
              <w:rPr>
                <w:rFonts w:ascii="Arial" w:hAnsi="Arial" w:cs="Arial"/>
                <w:bCs/>
                <w:sz w:val="22"/>
                <w:szCs w:val="22"/>
                <w:lang w:val="en-US"/>
              </w:rPr>
              <w:t xml:space="preserve">, are a novel exploration of how lay conceptualizations of environmental justice have similarities across disparate locations but differ between policy experts and residents, leading to insights on communication and knowledge gaps that can be targeted for improvement. The presentation will discuss recommendations for how to best frame risk management policies </w:t>
            </w:r>
            <w:proofErr w:type="gramStart"/>
            <w:r w:rsidRPr="006844BF">
              <w:rPr>
                <w:rFonts w:ascii="Arial" w:hAnsi="Arial" w:cs="Arial"/>
                <w:bCs/>
                <w:sz w:val="22"/>
                <w:szCs w:val="22"/>
                <w:lang w:val="en-US"/>
              </w:rPr>
              <w:t>in order to</w:t>
            </w:r>
            <w:proofErr w:type="gramEnd"/>
            <w:r w:rsidRPr="006844BF">
              <w:rPr>
                <w:rFonts w:ascii="Arial" w:hAnsi="Arial" w:cs="Arial"/>
                <w:bCs/>
                <w:sz w:val="22"/>
                <w:szCs w:val="22"/>
                <w:lang w:val="en-US"/>
              </w:rPr>
              <w:t xml:space="preserve"> increase support for policies aimed at minimizing environmental inequities.</w:t>
            </w:r>
          </w:p>
          <w:p w14:paraId="47A3A5D0" w14:textId="77777777" w:rsidR="001D0FD5" w:rsidRDefault="001D0FD5" w:rsidP="00706DED">
            <w:pPr>
              <w:jc w:val="both"/>
              <w:rPr>
                <w:rFonts w:ascii="Arial" w:hAnsi="Arial" w:cs="Arial"/>
                <w:b/>
                <w:sz w:val="22"/>
                <w:szCs w:val="22"/>
              </w:rPr>
            </w:pPr>
          </w:p>
          <w:p w14:paraId="2DFD60E7" w14:textId="77777777" w:rsidR="001D0FD5" w:rsidRDefault="001D0FD5" w:rsidP="00706DED">
            <w:pPr>
              <w:jc w:val="both"/>
              <w:rPr>
                <w:rFonts w:ascii="Arial" w:hAnsi="Arial" w:cs="Arial"/>
                <w:b/>
                <w:sz w:val="22"/>
                <w:szCs w:val="22"/>
              </w:rPr>
            </w:pPr>
          </w:p>
          <w:p w14:paraId="39AA1BB4"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105E39"/>
    <w:rsid w:val="00132AE5"/>
    <w:rsid w:val="00133E92"/>
    <w:rsid w:val="00155315"/>
    <w:rsid w:val="001D0FD5"/>
    <w:rsid w:val="00247C60"/>
    <w:rsid w:val="00256963"/>
    <w:rsid w:val="002E3AA3"/>
    <w:rsid w:val="00317356"/>
    <w:rsid w:val="0034503D"/>
    <w:rsid w:val="00354C31"/>
    <w:rsid w:val="00375B20"/>
    <w:rsid w:val="0037687F"/>
    <w:rsid w:val="00386D01"/>
    <w:rsid w:val="004049E7"/>
    <w:rsid w:val="004306A2"/>
    <w:rsid w:val="00462B90"/>
    <w:rsid w:val="004828A0"/>
    <w:rsid w:val="004B69C7"/>
    <w:rsid w:val="004C315F"/>
    <w:rsid w:val="004D193B"/>
    <w:rsid w:val="004F4CE8"/>
    <w:rsid w:val="004F5C81"/>
    <w:rsid w:val="0053222C"/>
    <w:rsid w:val="005469BD"/>
    <w:rsid w:val="00550B17"/>
    <w:rsid w:val="005854B8"/>
    <w:rsid w:val="0065012F"/>
    <w:rsid w:val="0068043B"/>
    <w:rsid w:val="00681CA7"/>
    <w:rsid w:val="006844BF"/>
    <w:rsid w:val="008235E8"/>
    <w:rsid w:val="008773DF"/>
    <w:rsid w:val="00892158"/>
    <w:rsid w:val="008B01BA"/>
    <w:rsid w:val="008B50A0"/>
    <w:rsid w:val="008C0C35"/>
    <w:rsid w:val="008C22AD"/>
    <w:rsid w:val="008C2633"/>
    <w:rsid w:val="008E3D8D"/>
    <w:rsid w:val="008F2F93"/>
    <w:rsid w:val="009010B0"/>
    <w:rsid w:val="00906B39"/>
    <w:rsid w:val="0094092B"/>
    <w:rsid w:val="00963443"/>
    <w:rsid w:val="009C374A"/>
    <w:rsid w:val="009F4EA0"/>
    <w:rsid w:val="00A33932"/>
    <w:rsid w:val="00B026E8"/>
    <w:rsid w:val="00BA0872"/>
    <w:rsid w:val="00BA26BB"/>
    <w:rsid w:val="00BC6810"/>
    <w:rsid w:val="00BE0B4D"/>
    <w:rsid w:val="00BE58D6"/>
    <w:rsid w:val="00C26081"/>
    <w:rsid w:val="00C4126D"/>
    <w:rsid w:val="00C76C99"/>
    <w:rsid w:val="00C8423A"/>
    <w:rsid w:val="00CE53FE"/>
    <w:rsid w:val="00D716AD"/>
    <w:rsid w:val="00DB7929"/>
    <w:rsid w:val="00DD1BB3"/>
    <w:rsid w:val="00E612FF"/>
    <w:rsid w:val="00EB1B31"/>
    <w:rsid w:val="00EF0893"/>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459808">
      <w:bodyDiv w:val="1"/>
      <w:marLeft w:val="0"/>
      <w:marRight w:val="0"/>
      <w:marTop w:val="0"/>
      <w:marBottom w:val="0"/>
      <w:divBdr>
        <w:top w:val="none" w:sz="0" w:space="0" w:color="auto"/>
        <w:left w:val="none" w:sz="0" w:space="0" w:color="auto"/>
        <w:bottom w:val="none" w:sz="0" w:space="0" w:color="auto"/>
        <w:right w:val="none" w:sz="0" w:space="0" w:color="auto"/>
      </w:divBdr>
    </w:div>
    <w:div w:id="539316320">
      <w:bodyDiv w:val="1"/>
      <w:marLeft w:val="0"/>
      <w:marRight w:val="0"/>
      <w:marTop w:val="0"/>
      <w:marBottom w:val="0"/>
      <w:divBdr>
        <w:top w:val="none" w:sz="0" w:space="0" w:color="auto"/>
        <w:left w:val="none" w:sz="0" w:space="0" w:color="auto"/>
        <w:bottom w:val="none" w:sz="0" w:space="0" w:color="auto"/>
        <w:right w:val="none" w:sz="0" w:space="0" w:color="auto"/>
      </w:divBdr>
    </w:div>
    <w:div w:id="598872470">
      <w:bodyDiv w:val="1"/>
      <w:marLeft w:val="0"/>
      <w:marRight w:val="0"/>
      <w:marTop w:val="0"/>
      <w:marBottom w:val="0"/>
      <w:divBdr>
        <w:top w:val="none" w:sz="0" w:space="0" w:color="auto"/>
        <w:left w:val="none" w:sz="0" w:space="0" w:color="auto"/>
        <w:bottom w:val="none" w:sz="0" w:space="0" w:color="auto"/>
        <w:right w:val="none" w:sz="0" w:space="0" w:color="auto"/>
      </w:divBdr>
    </w:div>
    <w:div w:id="685521809">
      <w:bodyDiv w:val="1"/>
      <w:marLeft w:val="0"/>
      <w:marRight w:val="0"/>
      <w:marTop w:val="0"/>
      <w:marBottom w:val="0"/>
      <w:divBdr>
        <w:top w:val="none" w:sz="0" w:space="0" w:color="auto"/>
        <w:left w:val="none" w:sz="0" w:space="0" w:color="auto"/>
        <w:bottom w:val="none" w:sz="0" w:space="0" w:color="auto"/>
        <w:right w:val="none" w:sz="0" w:space="0" w:color="auto"/>
      </w:divBdr>
    </w:div>
    <w:div w:id="700787565">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69881738">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53606938">
      <w:bodyDiv w:val="1"/>
      <w:marLeft w:val="0"/>
      <w:marRight w:val="0"/>
      <w:marTop w:val="0"/>
      <w:marBottom w:val="0"/>
      <w:divBdr>
        <w:top w:val="none" w:sz="0" w:space="0" w:color="auto"/>
        <w:left w:val="none" w:sz="0" w:space="0" w:color="auto"/>
        <w:bottom w:val="none" w:sz="0" w:space="0" w:color="auto"/>
        <w:right w:val="none" w:sz="0" w:space="0" w:color="auto"/>
      </w:divBdr>
    </w:div>
    <w:div w:id="1715932637">
      <w:bodyDiv w:val="1"/>
      <w:marLeft w:val="0"/>
      <w:marRight w:val="0"/>
      <w:marTop w:val="0"/>
      <w:marBottom w:val="0"/>
      <w:divBdr>
        <w:top w:val="none" w:sz="0" w:space="0" w:color="auto"/>
        <w:left w:val="none" w:sz="0" w:space="0" w:color="auto"/>
        <w:bottom w:val="none" w:sz="0" w:space="0" w:color="auto"/>
        <w:right w:val="none" w:sz="0" w:space="0" w:color="auto"/>
      </w:divBdr>
    </w:div>
    <w:div w:id="2076657303">
      <w:bodyDiv w:val="1"/>
      <w:marLeft w:val="0"/>
      <w:marRight w:val="0"/>
      <w:marTop w:val="0"/>
      <w:marBottom w:val="0"/>
      <w:divBdr>
        <w:top w:val="none" w:sz="0" w:space="0" w:color="auto"/>
        <w:left w:val="none" w:sz="0" w:space="0" w:color="auto"/>
        <w:bottom w:val="none" w:sz="0" w:space="0" w:color="auto"/>
        <w:right w:val="none" w:sz="0" w:space="0" w:color="auto"/>
      </w:divBdr>
    </w:div>
    <w:div w:id="2116093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terms/"/>
    <ds:schemaRef ds:uri="http://www.w3.org/XML/1998/namespace"/>
    <ds:schemaRef ds:uri="6911e96c-4cc4-42d5-8e43-f93924cf6a05"/>
    <ds:schemaRef ds:uri="http://schemas.microsoft.com/office/2006/documentManagement/types"/>
    <ds:schemaRef ds:uri="cab52c9b-ab33-4221-8af9-54f8f2b86a80"/>
    <ds:schemaRef ds:uri="9c8a2b7b-0bee-4c48-b0a6-23db8982d3bc"/>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8FC1400B-5C47-4D6C-93C0-5E77DE40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534</Words>
  <Characters>3048</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11</cp:revision>
  <dcterms:created xsi:type="dcterms:W3CDTF">2024-09-16T20:56:00Z</dcterms:created>
  <dcterms:modified xsi:type="dcterms:W3CDTF">2025-08-14T00:24:00Z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