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9191" w14:textId="661C746C" w:rsidR="00013390" w:rsidRPr="00165F90" w:rsidRDefault="00013390" w:rsidP="006B3E59">
      <w:pPr>
        <w:pStyle w:val="paragraph"/>
        <w:spacing w:before="0" w:beforeAutospacing="0" w:after="0" w:afterAutospacing="0"/>
        <w:textAlignment w:val="baseline"/>
        <w:rPr>
          <w:rFonts w:ascii="Arial" w:hAnsi="Arial" w:cs="Arial"/>
          <w:b/>
          <w:bCs/>
          <w:color w:val="000000" w:themeColor="text1"/>
          <w:sz w:val="22"/>
          <w:szCs w:val="22"/>
        </w:rPr>
      </w:pPr>
      <w:r w:rsidRPr="00165F90">
        <w:rPr>
          <w:rFonts w:ascii="Arial" w:hAnsi="Arial" w:cs="Arial"/>
          <w:b/>
          <w:bCs/>
          <w:color w:val="000000" w:themeColor="text1"/>
          <w:sz w:val="22"/>
          <w:szCs w:val="22"/>
        </w:rPr>
        <w:t>Antenatal Management of HNF4A-MODY and INSR Mutation</w:t>
      </w:r>
      <w:r w:rsidR="00801906" w:rsidRPr="00165F90">
        <w:rPr>
          <w:rFonts w:ascii="Arial" w:hAnsi="Arial" w:cs="Arial"/>
          <w:b/>
          <w:bCs/>
          <w:color w:val="000000" w:themeColor="text1"/>
          <w:sz w:val="22"/>
          <w:szCs w:val="22"/>
        </w:rPr>
        <w:t>s</w:t>
      </w:r>
      <w:r w:rsidRPr="00165F90">
        <w:rPr>
          <w:rFonts w:ascii="Arial" w:hAnsi="Arial" w:cs="Arial"/>
          <w:b/>
          <w:bCs/>
          <w:color w:val="000000" w:themeColor="text1"/>
          <w:sz w:val="22"/>
          <w:szCs w:val="22"/>
        </w:rPr>
        <w:t xml:space="preserve"> in Pregnancy: A Complex Case of Monogenic Diabetes</w:t>
      </w:r>
    </w:p>
    <w:p w14:paraId="70B52F7B" w14:textId="7A27AF36" w:rsidR="006B3E59" w:rsidRPr="009500DC" w:rsidRDefault="006B3E59" w:rsidP="006B3E59">
      <w:pPr>
        <w:pStyle w:val="paragraph"/>
        <w:spacing w:before="0" w:beforeAutospacing="0" w:after="0" w:afterAutospacing="0"/>
        <w:textAlignment w:val="baseline"/>
        <w:rPr>
          <w:rFonts w:ascii="Arial" w:hAnsi="Arial" w:cs="Arial"/>
          <w:color w:val="000000" w:themeColor="text1"/>
          <w:sz w:val="22"/>
          <w:szCs w:val="22"/>
        </w:rPr>
      </w:pPr>
      <w:r w:rsidRPr="009500DC">
        <w:rPr>
          <w:rStyle w:val="eop"/>
          <w:rFonts w:ascii="Arial" w:hAnsi="Arial" w:cs="Arial"/>
          <w:color w:val="000000" w:themeColor="text1"/>
          <w:sz w:val="22"/>
          <w:szCs w:val="22"/>
        </w:rPr>
        <w:t> </w:t>
      </w:r>
    </w:p>
    <w:p w14:paraId="3B0FD460" w14:textId="77777777" w:rsidR="00801906" w:rsidRDefault="006B3E59">
      <w:pPr>
        <w:rPr>
          <w:rFonts w:ascii="Arial" w:hAnsi="Arial" w:cs="Arial"/>
          <w:b/>
          <w:bCs/>
          <w:color w:val="000000" w:themeColor="text1"/>
        </w:rPr>
      </w:pPr>
      <w:r w:rsidRPr="009500DC">
        <w:rPr>
          <w:rFonts w:ascii="Arial" w:hAnsi="Arial" w:cs="Arial"/>
          <w:b/>
          <w:bCs/>
          <w:color w:val="000000" w:themeColor="text1"/>
        </w:rPr>
        <w:t>Background</w:t>
      </w:r>
      <w:r w:rsidR="00C71CB6" w:rsidRPr="009500DC">
        <w:rPr>
          <w:rFonts w:ascii="Arial" w:hAnsi="Arial" w:cs="Arial"/>
          <w:b/>
          <w:bCs/>
          <w:color w:val="000000" w:themeColor="text1"/>
        </w:rPr>
        <w:t>/Aim</w:t>
      </w:r>
    </w:p>
    <w:p w14:paraId="5FA8FBE0" w14:textId="4B04E221" w:rsidR="004003BD" w:rsidRDefault="004003BD">
      <w:pPr>
        <w:rPr>
          <w:rFonts w:ascii="Arial" w:hAnsi="Arial" w:cs="Arial"/>
          <w:color w:val="000000" w:themeColor="text1"/>
        </w:rPr>
      </w:pPr>
      <w:r w:rsidRPr="004003BD">
        <w:rPr>
          <w:rFonts w:ascii="Arial" w:hAnsi="Arial" w:cs="Arial"/>
          <w:color w:val="000000" w:themeColor="text1"/>
        </w:rPr>
        <w:t xml:space="preserve">To present a case of a pregnant woman with confirmed </w:t>
      </w:r>
      <w:r w:rsidRPr="004003BD">
        <w:rPr>
          <w:rFonts w:ascii="Arial" w:hAnsi="Arial" w:cs="Arial"/>
          <w:i/>
          <w:iCs/>
          <w:color w:val="000000" w:themeColor="text1"/>
        </w:rPr>
        <w:t>HNF4A</w:t>
      </w:r>
      <w:r w:rsidRPr="004003BD">
        <w:rPr>
          <w:rFonts w:ascii="Arial" w:hAnsi="Arial" w:cs="Arial"/>
          <w:color w:val="000000" w:themeColor="text1"/>
        </w:rPr>
        <w:t xml:space="preserve">-MODY and </w:t>
      </w:r>
      <w:r w:rsidRPr="004003BD">
        <w:rPr>
          <w:rFonts w:ascii="Arial" w:hAnsi="Arial" w:cs="Arial"/>
          <w:i/>
          <w:iCs/>
          <w:color w:val="000000" w:themeColor="text1"/>
        </w:rPr>
        <w:t>INSR</w:t>
      </w:r>
      <w:r w:rsidRPr="004003BD">
        <w:rPr>
          <w:rFonts w:ascii="Arial" w:hAnsi="Arial" w:cs="Arial"/>
          <w:color w:val="000000" w:themeColor="text1"/>
        </w:rPr>
        <w:t xml:space="preserve"> gene mutations, with a focus on antenatal management and the implications of foetal variant inheritance</w:t>
      </w:r>
      <w:r w:rsidR="006D54CF">
        <w:rPr>
          <w:rFonts w:ascii="Arial" w:hAnsi="Arial" w:cs="Arial"/>
          <w:color w:val="000000" w:themeColor="text1"/>
        </w:rPr>
        <w:t>.</w:t>
      </w:r>
    </w:p>
    <w:p w14:paraId="3CAF0D2E" w14:textId="22D4FADF" w:rsidR="006B3E59" w:rsidRPr="009500DC" w:rsidRDefault="006B3E59">
      <w:pPr>
        <w:rPr>
          <w:rFonts w:ascii="Arial" w:hAnsi="Arial" w:cs="Arial"/>
          <w:b/>
          <w:bCs/>
          <w:color w:val="000000" w:themeColor="text1"/>
        </w:rPr>
      </w:pPr>
      <w:r w:rsidRPr="009500DC">
        <w:rPr>
          <w:rFonts w:ascii="Arial" w:hAnsi="Arial" w:cs="Arial"/>
          <w:b/>
          <w:bCs/>
          <w:color w:val="000000" w:themeColor="text1"/>
        </w:rPr>
        <w:t>Method</w:t>
      </w:r>
      <w:r w:rsidR="0035147C" w:rsidRPr="009500DC">
        <w:rPr>
          <w:rFonts w:ascii="Arial" w:hAnsi="Arial" w:cs="Arial"/>
          <w:b/>
          <w:bCs/>
          <w:color w:val="000000" w:themeColor="text1"/>
        </w:rPr>
        <w:t>s</w:t>
      </w:r>
    </w:p>
    <w:p w14:paraId="79CA25F7" w14:textId="77777777" w:rsidR="004003BD" w:rsidRDefault="004003BD" w:rsidP="00C10326">
      <w:pPr>
        <w:rPr>
          <w:rFonts w:ascii="Arial" w:hAnsi="Arial" w:cs="Arial"/>
          <w:color w:val="000000" w:themeColor="text1"/>
        </w:rPr>
      </w:pPr>
      <w:r w:rsidRPr="004003BD">
        <w:rPr>
          <w:rFonts w:ascii="Arial" w:hAnsi="Arial" w:cs="Arial"/>
          <w:color w:val="000000" w:themeColor="text1"/>
        </w:rPr>
        <w:t xml:space="preserve">A 25-year-old G1P0 woman was referred at 24 weeks’ gestation for antenatal care. She had a history of diabetes diagnosed at age 17, initially treated as type 2 diabetes. Her normal BMI (22.2 kg/m²), marked insulin sensitivity, and a strong paternal family history of diabetes prompted genetic evaluation. Molecular testing confirmed pathogenic variants in both </w:t>
      </w:r>
      <w:r w:rsidRPr="004003BD">
        <w:rPr>
          <w:rFonts w:ascii="Arial" w:hAnsi="Arial" w:cs="Arial"/>
          <w:i/>
          <w:iCs/>
          <w:color w:val="000000" w:themeColor="text1"/>
        </w:rPr>
        <w:t>HNF4A</w:t>
      </w:r>
      <w:r w:rsidRPr="004003BD">
        <w:rPr>
          <w:rFonts w:ascii="Arial" w:hAnsi="Arial" w:cs="Arial"/>
          <w:color w:val="000000" w:themeColor="text1"/>
        </w:rPr>
        <w:t xml:space="preserve"> and </w:t>
      </w:r>
      <w:r w:rsidRPr="004003BD">
        <w:rPr>
          <w:rFonts w:ascii="Arial" w:hAnsi="Arial" w:cs="Arial"/>
          <w:i/>
          <w:iCs/>
          <w:color w:val="000000" w:themeColor="text1"/>
        </w:rPr>
        <w:t>INSR</w:t>
      </w:r>
      <w:r w:rsidRPr="004003BD">
        <w:rPr>
          <w:rFonts w:ascii="Arial" w:hAnsi="Arial" w:cs="Arial"/>
          <w:color w:val="000000" w:themeColor="text1"/>
        </w:rPr>
        <w:t xml:space="preserve"> genes. Inheritance of the </w:t>
      </w:r>
      <w:r w:rsidRPr="004003BD">
        <w:rPr>
          <w:rFonts w:ascii="Arial" w:hAnsi="Arial" w:cs="Arial"/>
          <w:i/>
          <w:iCs/>
          <w:color w:val="000000" w:themeColor="text1"/>
        </w:rPr>
        <w:t>HNF4A</w:t>
      </w:r>
      <w:r w:rsidRPr="004003BD">
        <w:rPr>
          <w:rFonts w:ascii="Arial" w:hAnsi="Arial" w:cs="Arial"/>
          <w:color w:val="000000" w:themeColor="text1"/>
        </w:rPr>
        <w:t xml:space="preserve"> variant is associated with increased risk of foetal macrosomia and neonatal hypoglycaemia, while </w:t>
      </w:r>
      <w:r w:rsidRPr="004003BD">
        <w:rPr>
          <w:rFonts w:ascii="Arial" w:hAnsi="Arial" w:cs="Arial"/>
          <w:i/>
          <w:iCs/>
          <w:color w:val="000000" w:themeColor="text1"/>
        </w:rPr>
        <w:t>INSR</w:t>
      </w:r>
      <w:r w:rsidRPr="004003BD">
        <w:rPr>
          <w:rFonts w:ascii="Arial" w:hAnsi="Arial" w:cs="Arial"/>
          <w:color w:val="000000" w:themeColor="text1"/>
        </w:rPr>
        <w:t xml:space="preserve"> variants confer a risk of insulin resistance, poor postnatal weight gain, and prolonged hypoglycaemia.</w:t>
      </w:r>
    </w:p>
    <w:p w14:paraId="7A09B734" w14:textId="363A6890" w:rsidR="0026707F" w:rsidRPr="009500DC" w:rsidRDefault="0026707F" w:rsidP="00C10326">
      <w:pPr>
        <w:rPr>
          <w:rFonts w:ascii="Arial" w:hAnsi="Arial" w:cs="Arial"/>
          <w:color w:val="000000" w:themeColor="text1"/>
        </w:rPr>
      </w:pPr>
      <w:r w:rsidRPr="009500DC">
        <w:rPr>
          <w:rFonts w:ascii="Arial" w:hAnsi="Arial" w:cs="Arial"/>
          <w:b/>
          <w:bCs/>
          <w:color w:val="000000" w:themeColor="text1"/>
        </w:rPr>
        <w:t>Results</w:t>
      </w:r>
    </w:p>
    <w:p w14:paraId="35ADEE9D" w14:textId="35915AE3" w:rsidR="004003BD" w:rsidRDefault="004003BD" w:rsidP="00C10326">
      <w:pPr>
        <w:rPr>
          <w:rFonts w:ascii="Arial" w:hAnsi="Arial" w:cs="Arial"/>
          <w:color w:val="000000" w:themeColor="text1"/>
        </w:rPr>
      </w:pPr>
      <w:r w:rsidRPr="004003BD">
        <w:rPr>
          <w:rFonts w:ascii="Arial" w:hAnsi="Arial" w:cs="Arial"/>
          <w:color w:val="000000" w:themeColor="text1"/>
        </w:rPr>
        <w:t xml:space="preserve">Non-invasive prenatal testing (NIPT) predicted foetal inheritance of the maternal </w:t>
      </w:r>
      <w:r w:rsidRPr="004003BD">
        <w:rPr>
          <w:rFonts w:ascii="Arial" w:hAnsi="Arial" w:cs="Arial"/>
          <w:i/>
          <w:iCs/>
          <w:color w:val="000000" w:themeColor="text1"/>
        </w:rPr>
        <w:t>HNF4A</w:t>
      </w:r>
      <w:r w:rsidRPr="004003BD">
        <w:rPr>
          <w:rFonts w:ascii="Arial" w:hAnsi="Arial" w:cs="Arial"/>
          <w:color w:val="000000" w:themeColor="text1"/>
        </w:rPr>
        <w:t xml:space="preserve"> variant. At 34 weeks, ultrasound demonstrated an estimated foetal weight of 2300 g (52nd percentile) and abdominal circumference of 316.6 mm (86th percentile). Delivery occurred at 34+4 weeks via vacuum-assisted vaginal birth for prolonged second stage; birth weight was 2860 g (90–95th percentile). The neonate required monitoring for hypoglycaemia and received supportive care</w:t>
      </w:r>
      <w:r w:rsidR="006D54CF">
        <w:rPr>
          <w:rFonts w:ascii="Arial" w:hAnsi="Arial" w:cs="Arial"/>
          <w:color w:val="000000" w:themeColor="text1"/>
        </w:rPr>
        <w:t>.</w:t>
      </w:r>
    </w:p>
    <w:p w14:paraId="49F2A2DE" w14:textId="5E13B905" w:rsidR="00F61692" w:rsidRPr="009500DC" w:rsidRDefault="00F61692" w:rsidP="00C10326">
      <w:pPr>
        <w:rPr>
          <w:rFonts w:ascii="Arial" w:hAnsi="Arial" w:cs="Arial"/>
          <w:color w:val="000000" w:themeColor="text1"/>
        </w:rPr>
      </w:pPr>
      <w:r w:rsidRPr="009500DC">
        <w:rPr>
          <w:rFonts w:ascii="Arial" w:hAnsi="Arial" w:cs="Arial"/>
          <w:b/>
          <w:bCs/>
          <w:color w:val="000000" w:themeColor="text1"/>
        </w:rPr>
        <w:t>Discussion</w:t>
      </w:r>
    </w:p>
    <w:p w14:paraId="2AD98336" w14:textId="38EE5458" w:rsidR="00013390" w:rsidRDefault="00013390" w:rsidP="00013390">
      <w:pPr>
        <w:rPr>
          <w:rFonts w:ascii="Arial" w:hAnsi="Arial" w:cs="Arial"/>
          <w:color w:val="000000" w:themeColor="text1"/>
        </w:rPr>
      </w:pPr>
      <w:r w:rsidRPr="00013390">
        <w:rPr>
          <w:rFonts w:ascii="Arial" w:hAnsi="Arial" w:cs="Arial"/>
          <w:color w:val="000000" w:themeColor="text1"/>
        </w:rPr>
        <w:t xml:space="preserve">HNF4A-MODY in pregnancy requires early recognition. </w:t>
      </w:r>
      <w:r w:rsidR="00801906" w:rsidRPr="00801906">
        <w:rPr>
          <w:rFonts w:ascii="Arial" w:hAnsi="Arial" w:cs="Arial"/>
          <w:color w:val="000000" w:themeColor="text1"/>
        </w:rPr>
        <w:t>Maternal hyperglycaemia can exacerbate f</w:t>
      </w:r>
      <w:r w:rsidR="00801906">
        <w:rPr>
          <w:rFonts w:ascii="Arial" w:hAnsi="Arial" w:cs="Arial"/>
          <w:color w:val="000000" w:themeColor="text1"/>
        </w:rPr>
        <w:t>o</w:t>
      </w:r>
      <w:r w:rsidR="00801906" w:rsidRPr="00801906">
        <w:rPr>
          <w:rFonts w:ascii="Arial" w:hAnsi="Arial" w:cs="Arial"/>
          <w:color w:val="000000" w:themeColor="text1"/>
        </w:rPr>
        <w:t xml:space="preserve">etal hyperinsulinism in affected offspring, heightening the risk of macrosomia and hypoglycaemia. </w:t>
      </w:r>
      <w:r w:rsidRPr="00013390">
        <w:rPr>
          <w:rFonts w:ascii="Arial" w:hAnsi="Arial" w:cs="Arial"/>
          <w:color w:val="000000" w:themeColor="text1"/>
        </w:rPr>
        <w:t>In this context, tight glycaemic control from early gestation is crucial. Serial growth scans and early delivery—even with good glucose control—may be warranted. INSR mutations introduce additional risks such as poor postnatal weight gain and prolonged hypoglycaemia</w:t>
      </w:r>
      <w:r w:rsidR="004F3BCA">
        <w:rPr>
          <w:rFonts w:ascii="Arial" w:hAnsi="Arial" w:cs="Arial"/>
          <w:color w:val="000000" w:themeColor="text1"/>
        </w:rPr>
        <w:t>.</w:t>
      </w:r>
    </w:p>
    <w:p w14:paraId="0430F4ED" w14:textId="77777777" w:rsidR="0026707F" w:rsidRPr="009500DC" w:rsidRDefault="0026707F" w:rsidP="0026707F">
      <w:pPr>
        <w:rPr>
          <w:rFonts w:ascii="Arial" w:hAnsi="Arial" w:cs="Arial"/>
          <w:b/>
          <w:bCs/>
          <w:color w:val="000000" w:themeColor="text1"/>
        </w:rPr>
      </w:pPr>
      <w:r w:rsidRPr="009500DC">
        <w:rPr>
          <w:rFonts w:ascii="Arial" w:hAnsi="Arial" w:cs="Arial"/>
          <w:b/>
          <w:bCs/>
          <w:color w:val="000000" w:themeColor="text1"/>
        </w:rPr>
        <w:t xml:space="preserve">Conclusion </w:t>
      </w:r>
    </w:p>
    <w:p w14:paraId="19448D70" w14:textId="64831A3F" w:rsidR="004F3BCA" w:rsidRDefault="00801906">
      <w:pPr>
        <w:rPr>
          <w:rFonts w:ascii="Arial" w:hAnsi="Arial" w:cs="Arial"/>
          <w:color w:val="000000" w:themeColor="text1"/>
        </w:rPr>
      </w:pPr>
      <w:r w:rsidRPr="00801906">
        <w:rPr>
          <w:rFonts w:ascii="Arial" w:hAnsi="Arial" w:cs="Arial"/>
          <w:color w:val="000000" w:themeColor="text1"/>
        </w:rPr>
        <w:t xml:space="preserve">This case highlights the importance of </w:t>
      </w:r>
      <w:r w:rsidR="004003BD">
        <w:rPr>
          <w:rFonts w:ascii="Arial" w:hAnsi="Arial" w:cs="Arial"/>
          <w:color w:val="000000" w:themeColor="text1"/>
        </w:rPr>
        <w:t>timely</w:t>
      </w:r>
      <w:r w:rsidRPr="00801906">
        <w:rPr>
          <w:rFonts w:ascii="Arial" w:hAnsi="Arial" w:cs="Arial"/>
          <w:color w:val="000000" w:themeColor="text1"/>
        </w:rPr>
        <w:t xml:space="preserve"> recognition of monogenic diabetes and the emerging role of non-invasive prenatal testing (NIPT) in identifying f</w:t>
      </w:r>
      <w:r w:rsidR="004003BD">
        <w:rPr>
          <w:rFonts w:ascii="Arial" w:hAnsi="Arial" w:cs="Arial"/>
          <w:color w:val="000000" w:themeColor="text1"/>
        </w:rPr>
        <w:t>o</w:t>
      </w:r>
      <w:r w:rsidRPr="00801906">
        <w:rPr>
          <w:rFonts w:ascii="Arial" w:hAnsi="Arial" w:cs="Arial"/>
          <w:color w:val="000000" w:themeColor="text1"/>
        </w:rPr>
        <w:t xml:space="preserve">etal inheritance of pathogenic variants. </w:t>
      </w:r>
      <w:r w:rsidR="004003BD" w:rsidRPr="004003BD">
        <w:rPr>
          <w:rFonts w:ascii="Arial" w:hAnsi="Arial" w:cs="Arial"/>
          <w:color w:val="000000" w:themeColor="text1"/>
        </w:rPr>
        <w:t>Optimising maternal glycaemic control and ensuring close foetal and neonatal surveillance are critical to improving perinatal outcomes.</w:t>
      </w:r>
    </w:p>
    <w:p w14:paraId="7F452389" w14:textId="05D9CBBF" w:rsidR="00801906" w:rsidRPr="00950072" w:rsidRDefault="00801906">
      <w:pPr>
        <w:rPr>
          <w:rFonts w:cstheme="minorHAnsi"/>
          <w:sz w:val="24"/>
          <w:szCs w:val="24"/>
        </w:rPr>
      </w:pPr>
    </w:p>
    <w:sectPr w:rsidR="00801906" w:rsidRPr="00950072" w:rsidSect="00657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2088"/>
    <w:multiLevelType w:val="multilevel"/>
    <w:tmpl w:val="4D98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C20F8D"/>
    <w:multiLevelType w:val="hybridMultilevel"/>
    <w:tmpl w:val="3DAC5B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6363D3"/>
    <w:multiLevelType w:val="hybridMultilevel"/>
    <w:tmpl w:val="B00AE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F70BA0"/>
    <w:multiLevelType w:val="hybridMultilevel"/>
    <w:tmpl w:val="D98E9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766846"/>
    <w:multiLevelType w:val="multilevel"/>
    <w:tmpl w:val="494A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5915F6"/>
    <w:multiLevelType w:val="hybridMultilevel"/>
    <w:tmpl w:val="72CC73A2"/>
    <w:lvl w:ilvl="0" w:tplc="9D822C84">
      <w:start w:val="1"/>
      <w:numFmt w:val="bullet"/>
      <w:lvlText w:val="•"/>
      <w:lvlJc w:val="left"/>
      <w:pPr>
        <w:tabs>
          <w:tab w:val="num" w:pos="720"/>
        </w:tabs>
        <w:ind w:left="720" w:hanging="360"/>
      </w:pPr>
      <w:rPr>
        <w:rFonts w:ascii="Arial" w:hAnsi="Arial" w:hint="default"/>
      </w:rPr>
    </w:lvl>
    <w:lvl w:ilvl="1" w:tplc="1D5492BE" w:tentative="1">
      <w:start w:val="1"/>
      <w:numFmt w:val="bullet"/>
      <w:lvlText w:val="•"/>
      <w:lvlJc w:val="left"/>
      <w:pPr>
        <w:tabs>
          <w:tab w:val="num" w:pos="1440"/>
        </w:tabs>
        <w:ind w:left="1440" w:hanging="360"/>
      </w:pPr>
      <w:rPr>
        <w:rFonts w:ascii="Arial" w:hAnsi="Arial" w:hint="default"/>
      </w:rPr>
    </w:lvl>
    <w:lvl w:ilvl="2" w:tplc="E89AF096" w:tentative="1">
      <w:start w:val="1"/>
      <w:numFmt w:val="bullet"/>
      <w:lvlText w:val="•"/>
      <w:lvlJc w:val="left"/>
      <w:pPr>
        <w:tabs>
          <w:tab w:val="num" w:pos="2160"/>
        </w:tabs>
        <w:ind w:left="2160" w:hanging="360"/>
      </w:pPr>
      <w:rPr>
        <w:rFonts w:ascii="Arial" w:hAnsi="Arial" w:hint="default"/>
      </w:rPr>
    </w:lvl>
    <w:lvl w:ilvl="3" w:tplc="5C4C60B8" w:tentative="1">
      <w:start w:val="1"/>
      <w:numFmt w:val="bullet"/>
      <w:lvlText w:val="•"/>
      <w:lvlJc w:val="left"/>
      <w:pPr>
        <w:tabs>
          <w:tab w:val="num" w:pos="2880"/>
        </w:tabs>
        <w:ind w:left="2880" w:hanging="360"/>
      </w:pPr>
      <w:rPr>
        <w:rFonts w:ascii="Arial" w:hAnsi="Arial" w:hint="default"/>
      </w:rPr>
    </w:lvl>
    <w:lvl w:ilvl="4" w:tplc="DB445E3E" w:tentative="1">
      <w:start w:val="1"/>
      <w:numFmt w:val="bullet"/>
      <w:lvlText w:val="•"/>
      <w:lvlJc w:val="left"/>
      <w:pPr>
        <w:tabs>
          <w:tab w:val="num" w:pos="3600"/>
        </w:tabs>
        <w:ind w:left="3600" w:hanging="360"/>
      </w:pPr>
      <w:rPr>
        <w:rFonts w:ascii="Arial" w:hAnsi="Arial" w:hint="default"/>
      </w:rPr>
    </w:lvl>
    <w:lvl w:ilvl="5" w:tplc="E05CA916" w:tentative="1">
      <w:start w:val="1"/>
      <w:numFmt w:val="bullet"/>
      <w:lvlText w:val="•"/>
      <w:lvlJc w:val="left"/>
      <w:pPr>
        <w:tabs>
          <w:tab w:val="num" w:pos="4320"/>
        </w:tabs>
        <w:ind w:left="4320" w:hanging="360"/>
      </w:pPr>
      <w:rPr>
        <w:rFonts w:ascii="Arial" w:hAnsi="Arial" w:hint="default"/>
      </w:rPr>
    </w:lvl>
    <w:lvl w:ilvl="6" w:tplc="3BAEE758" w:tentative="1">
      <w:start w:val="1"/>
      <w:numFmt w:val="bullet"/>
      <w:lvlText w:val="•"/>
      <w:lvlJc w:val="left"/>
      <w:pPr>
        <w:tabs>
          <w:tab w:val="num" w:pos="5040"/>
        </w:tabs>
        <w:ind w:left="5040" w:hanging="360"/>
      </w:pPr>
      <w:rPr>
        <w:rFonts w:ascii="Arial" w:hAnsi="Arial" w:hint="default"/>
      </w:rPr>
    </w:lvl>
    <w:lvl w:ilvl="7" w:tplc="AD648B7A" w:tentative="1">
      <w:start w:val="1"/>
      <w:numFmt w:val="bullet"/>
      <w:lvlText w:val="•"/>
      <w:lvlJc w:val="left"/>
      <w:pPr>
        <w:tabs>
          <w:tab w:val="num" w:pos="5760"/>
        </w:tabs>
        <w:ind w:left="5760" w:hanging="360"/>
      </w:pPr>
      <w:rPr>
        <w:rFonts w:ascii="Arial" w:hAnsi="Arial" w:hint="default"/>
      </w:rPr>
    </w:lvl>
    <w:lvl w:ilvl="8" w:tplc="6882E4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DD39DB"/>
    <w:multiLevelType w:val="hybridMultilevel"/>
    <w:tmpl w:val="6B063924"/>
    <w:lvl w:ilvl="0" w:tplc="953A71EE">
      <w:start w:val="1"/>
      <w:numFmt w:val="bullet"/>
      <w:lvlText w:val="•"/>
      <w:lvlJc w:val="left"/>
      <w:pPr>
        <w:tabs>
          <w:tab w:val="num" w:pos="720"/>
        </w:tabs>
        <w:ind w:left="720" w:hanging="360"/>
      </w:pPr>
      <w:rPr>
        <w:rFonts w:ascii="Arial" w:hAnsi="Arial" w:hint="default"/>
      </w:rPr>
    </w:lvl>
    <w:lvl w:ilvl="1" w:tplc="4E6292DC" w:tentative="1">
      <w:start w:val="1"/>
      <w:numFmt w:val="bullet"/>
      <w:lvlText w:val="•"/>
      <w:lvlJc w:val="left"/>
      <w:pPr>
        <w:tabs>
          <w:tab w:val="num" w:pos="1440"/>
        </w:tabs>
        <w:ind w:left="1440" w:hanging="360"/>
      </w:pPr>
      <w:rPr>
        <w:rFonts w:ascii="Arial" w:hAnsi="Arial" w:hint="default"/>
      </w:rPr>
    </w:lvl>
    <w:lvl w:ilvl="2" w:tplc="AC6AE472" w:tentative="1">
      <w:start w:val="1"/>
      <w:numFmt w:val="bullet"/>
      <w:lvlText w:val="•"/>
      <w:lvlJc w:val="left"/>
      <w:pPr>
        <w:tabs>
          <w:tab w:val="num" w:pos="2160"/>
        </w:tabs>
        <w:ind w:left="2160" w:hanging="360"/>
      </w:pPr>
      <w:rPr>
        <w:rFonts w:ascii="Arial" w:hAnsi="Arial" w:hint="default"/>
      </w:rPr>
    </w:lvl>
    <w:lvl w:ilvl="3" w:tplc="AAA40198" w:tentative="1">
      <w:start w:val="1"/>
      <w:numFmt w:val="bullet"/>
      <w:lvlText w:val="•"/>
      <w:lvlJc w:val="left"/>
      <w:pPr>
        <w:tabs>
          <w:tab w:val="num" w:pos="2880"/>
        </w:tabs>
        <w:ind w:left="2880" w:hanging="360"/>
      </w:pPr>
      <w:rPr>
        <w:rFonts w:ascii="Arial" w:hAnsi="Arial" w:hint="default"/>
      </w:rPr>
    </w:lvl>
    <w:lvl w:ilvl="4" w:tplc="5F06CA36" w:tentative="1">
      <w:start w:val="1"/>
      <w:numFmt w:val="bullet"/>
      <w:lvlText w:val="•"/>
      <w:lvlJc w:val="left"/>
      <w:pPr>
        <w:tabs>
          <w:tab w:val="num" w:pos="3600"/>
        </w:tabs>
        <w:ind w:left="3600" w:hanging="360"/>
      </w:pPr>
      <w:rPr>
        <w:rFonts w:ascii="Arial" w:hAnsi="Arial" w:hint="default"/>
      </w:rPr>
    </w:lvl>
    <w:lvl w:ilvl="5" w:tplc="33E41536" w:tentative="1">
      <w:start w:val="1"/>
      <w:numFmt w:val="bullet"/>
      <w:lvlText w:val="•"/>
      <w:lvlJc w:val="left"/>
      <w:pPr>
        <w:tabs>
          <w:tab w:val="num" w:pos="4320"/>
        </w:tabs>
        <w:ind w:left="4320" w:hanging="360"/>
      </w:pPr>
      <w:rPr>
        <w:rFonts w:ascii="Arial" w:hAnsi="Arial" w:hint="default"/>
      </w:rPr>
    </w:lvl>
    <w:lvl w:ilvl="6" w:tplc="0CDA7250" w:tentative="1">
      <w:start w:val="1"/>
      <w:numFmt w:val="bullet"/>
      <w:lvlText w:val="•"/>
      <w:lvlJc w:val="left"/>
      <w:pPr>
        <w:tabs>
          <w:tab w:val="num" w:pos="5040"/>
        </w:tabs>
        <w:ind w:left="5040" w:hanging="360"/>
      </w:pPr>
      <w:rPr>
        <w:rFonts w:ascii="Arial" w:hAnsi="Arial" w:hint="default"/>
      </w:rPr>
    </w:lvl>
    <w:lvl w:ilvl="7" w:tplc="EA5A332A" w:tentative="1">
      <w:start w:val="1"/>
      <w:numFmt w:val="bullet"/>
      <w:lvlText w:val="•"/>
      <w:lvlJc w:val="left"/>
      <w:pPr>
        <w:tabs>
          <w:tab w:val="num" w:pos="5760"/>
        </w:tabs>
        <w:ind w:left="5760" w:hanging="360"/>
      </w:pPr>
      <w:rPr>
        <w:rFonts w:ascii="Arial" w:hAnsi="Arial" w:hint="default"/>
      </w:rPr>
    </w:lvl>
    <w:lvl w:ilvl="8" w:tplc="29D67A68" w:tentative="1">
      <w:start w:val="1"/>
      <w:numFmt w:val="bullet"/>
      <w:lvlText w:val="•"/>
      <w:lvlJc w:val="left"/>
      <w:pPr>
        <w:tabs>
          <w:tab w:val="num" w:pos="6480"/>
        </w:tabs>
        <w:ind w:left="6480" w:hanging="360"/>
      </w:pPr>
      <w:rPr>
        <w:rFonts w:ascii="Arial" w:hAnsi="Arial" w:hint="default"/>
      </w:rPr>
    </w:lvl>
  </w:abstractNum>
  <w:num w:numId="1" w16cid:durableId="2006936628">
    <w:abstractNumId w:val="5"/>
  </w:num>
  <w:num w:numId="2" w16cid:durableId="1006519019">
    <w:abstractNumId w:val="6"/>
  </w:num>
  <w:num w:numId="3" w16cid:durableId="1249585084">
    <w:abstractNumId w:val="1"/>
  </w:num>
  <w:num w:numId="4" w16cid:durableId="1820682101">
    <w:abstractNumId w:val="2"/>
  </w:num>
  <w:num w:numId="5" w16cid:durableId="2076733373">
    <w:abstractNumId w:val="3"/>
  </w:num>
  <w:num w:numId="6" w16cid:durableId="402028511">
    <w:abstractNumId w:val="4"/>
  </w:num>
  <w:num w:numId="7" w16cid:durableId="148821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59"/>
    <w:rsid w:val="00013390"/>
    <w:rsid w:val="000A1453"/>
    <w:rsid w:val="000E3072"/>
    <w:rsid w:val="00165F90"/>
    <w:rsid w:val="001800EA"/>
    <w:rsid w:val="001E7C55"/>
    <w:rsid w:val="0026707F"/>
    <w:rsid w:val="002A3369"/>
    <w:rsid w:val="0035147C"/>
    <w:rsid w:val="003E6100"/>
    <w:rsid w:val="003F3D27"/>
    <w:rsid w:val="004003BD"/>
    <w:rsid w:val="004356A9"/>
    <w:rsid w:val="00454033"/>
    <w:rsid w:val="0046678D"/>
    <w:rsid w:val="0047588F"/>
    <w:rsid w:val="004F3BCA"/>
    <w:rsid w:val="005617F9"/>
    <w:rsid w:val="005B6ACE"/>
    <w:rsid w:val="006406E9"/>
    <w:rsid w:val="0065749A"/>
    <w:rsid w:val="00687AD2"/>
    <w:rsid w:val="006B3E59"/>
    <w:rsid w:val="006D54CF"/>
    <w:rsid w:val="007143B7"/>
    <w:rsid w:val="00760569"/>
    <w:rsid w:val="00772927"/>
    <w:rsid w:val="007E187F"/>
    <w:rsid w:val="00801906"/>
    <w:rsid w:val="008229E4"/>
    <w:rsid w:val="0090224E"/>
    <w:rsid w:val="00950072"/>
    <w:rsid w:val="009500DC"/>
    <w:rsid w:val="009F5220"/>
    <w:rsid w:val="00A4145F"/>
    <w:rsid w:val="00AD0094"/>
    <w:rsid w:val="00AD42CF"/>
    <w:rsid w:val="00B0168D"/>
    <w:rsid w:val="00B11C18"/>
    <w:rsid w:val="00B167A5"/>
    <w:rsid w:val="00C009EF"/>
    <w:rsid w:val="00C10326"/>
    <w:rsid w:val="00C66C90"/>
    <w:rsid w:val="00C70F14"/>
    <w:rsid w:val="00C71CB6"/>
    <w:rsid w:val="00D35A70"/>
    <w:rsid w:val="00E72C91"/>
    <w:rsid w:val="00F424A8"/>
    <w:rsid w:val="00F44199"/>
    <w:rsid w:val="00F6169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8344"/>
  <w15:chartTrackingRefBased/>
  <w15:docId w15:val="{E4954402-F6CB-45FF-A0DC-03601429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3E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B3E59"/>
  </w:style>
  <w:style w:type="character" w:customStyle="1" w:styleId="eop">
    <w:name w:val="eop"/>
    <w:basedOn w:val="DefaultParagraphFont"/>
    <w:rsid w:val="006B3E59"/>
  </w:style>
  <w:style w:type="paragraph" w:styleId="ListParagraph">
    <w:name w:val="List Paragraph"/>
    <w:basedOn w:val="Normal"/>
    <w:uiPriority w:val="34"/>
    <w:qFormat/>
    <w:rsid w:val="006B3E59"/>
    <w:pPr>
      <w:ind w:left="720"/>
      <w:contextualSpacing/>
    </w:pPr>
  </w:style>
  <w:style w:type="paragraph" w:styleId="NormalWeb">
    <w:name w:val="Normal (Web)"/>
    <w:basedOn w:val="Normal"/>
    <w:uiPriority w:val="99"/>
    <w:semiHidden/>
    <w:unhideWhenUsed/>
    <w:rsid w:val="009500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0673">
      <w:bodyDiv w:val="1"/>
      <w:marLeft w:val="0"/>
      <w:marRight w:val="0"/>
      <w:marTop w:val="0"/>
      <w:marBottom w:val="0"/>
      <w:divBdr>
        <w:top w:val="none" w:sz="0" w:space="0" w:color="auto"/>
        <w:left w:val="none" w:sz="0" w:space="0" w:color="auto"/>
        <w:bottom w:val="none" w:sz="0" w:space="0" w:color="auto"/>
        <w:right w:val="none" w:sz="0" w:space="0" w:color="auto"/>
      </w:divBdr>
    </w:div>
    <w:div w:id="342439830">
      <w:bodyDiv w:val="1"/>
      <w:marLeft w:val="0"/>
      <w:marRight w:val="0"/>
      <w:marTop w:val="0"/>
      <w:marBottom w:val="0"/>
      <w:divBdr>
        <w:top w:val="none" w:sz="0" w:space="0" w:color="auto"/>
        <w:left w:val="none" w:sz="0" w:space="0" w:color="auto"/>
        <w:bottom w:val="none" w:sz="0" w:space="0" w:color="auto"/>
        <w:right w:val="none" w:sz="0" w:space="0" w:color="auto"/>
      </w:divBdr>
      <w:divsChild>
        <w:div w:id="47800528">
          <w:marLeft w:val="360"/>
          <w:marRight w:val="0"/>
          <w:marTop w:val="200"/>
          <w:marBottom w:val="0"/>
          <w:divBdr>
            <w:top w:val="none" w:sz="0" w:space="0" w:color="auto"/>
            <w:left w:val="none" w:sz="0" w:space="0" w:color="auto"/>
            <w:bottom w:val="none" w:sz="0" w:space="0" w:color="auto"/>
            <w:right w:val="none" w:sz="0" w:space="0" w:color="auto"/>
          </w:divBdr>
        </w:div>
        <w:div w:id="1419595288">
          <w:marLeft w:val="360"/>
          <w:marRight w:val="0"/>
          <w:marTop w:val="200"/>
          <w:marBottom w:val="0"/>
          <w:divBdr>
            <w:top w:val="none" w:sz="0" w:space="0" w:color="auto"/>
            <w:left w:val="none" w:sz="0" w:space="0" w:color="auto"/>
            <w:bottom w:val="none" w:sz="0" w:space="0" w:color="auto"/>
            <w:right w:val="none" w:sz="0" w:space="0" w:color="auto"/>
          </w:divBdr>
        </w:div>
      </w:divsChild>
    </w:div>
    <w:div w:id="763495191">
      <w:bodyDiv w:val="1"/>
      <w:marLeft w:val="0"/>
      <w:marRight w:val="0"/>
      <w:marTop w:val="0"/>
      <w:marBottom w:val="0"/>
      <w:divBdr>
        <w:top w:val="none" w:sz="0" w:space="0" w:color="auto"/>
        <w:left w:val="none" w:sz="0" w:space="0" w:color="auto"/>
        <w:bottom w:val="none" w:sz="0" w:space="0" w:color="auto"/>
        <w:right w:val="none" w:sz="0" w:space="0" w:color="auto"/>
      </w:divBdr>
      <w:divsChild>
        <w:div w:id="1530214949">
          <w:marLeft w:val="0"/>
          <w:marRight w:val="0"/>
          <w:marTop w:val="0"/>
          <w:marBottom w:val="0"/>
          <w:divBdr>
            <w:top w:val="none" w:sz="0" w:space="0" w:color="auto"/>
            <w:left w:val="none" w:sz="0" w:space="0" w:color="auto"/>
            <w:bottom w:val="none" w:sz="0" w:space="0" w:color="auto"/>
            <w:right w:val="none" w:sz="0" w:space="0" w:color="auto"/>
          </w:divBdr>
        </w:div>
        <w:div w:id="1231774260">
          <w:marLeft w:val="0"/>
          <w:marRight w:val="0"/>
          <w:marTop w:val="0"/>
          <w:marBottom w:val="0"/>
          <w:divBdr>
            <w:top w:val="none" w:sz="0" w:space="0" w:color="auto"/>
            <w:left w:val="none" w:sz="0" w:space="0" w:color="auto"/>
            <w:bottom w:val="none" w:sz="0" w:space="0" w:color="auto"/>
            <w:right w:val="none" w:sz="0" w:space="0" w:color="auto"/>
          </w:divBdr>
        </w:div>
        <w:div w:id="2016490677">
          <w:marLeft w:val="0"/>
          <w:marRight w:val="0"/>
          <w:marTop w:val="0"/>
          <w:marBottom w:val="0"/>
          <w:divBdr>
            <w:top w:val="none" w:sz="0" w:space="0" w:color="auto"/>
            <w:left w:val="none" w:sz="0" w:space="0" w:color="auto"/>
            <w:bottom w:val="none" w:sz="0" w:space="0" w:color="auto"/>
            <w:right w:val="none" w:sz="0" w:space="0" w:color="auto"/>
          </w:divBdr>
        </w:div>
        <w:div w:id="744882225">
          <w:marLeft w:val="0"/>
          <w:marRight w:val="0"/>
          <w:marTop w:val="0"/>
          <w:marBottom w:val="0"/>
          <w:divBdr>
            <w:top w:val="none" w:sz="0" w:space="0" w:color="auto"/>
            <w:left w:val="none" w:sz="0" w:space="0" w:color="auto"/>
            <w:bottom w:val="none" w:sz="0" w:space="0" w:color="auto"/>
            <w:right w:val="none" w:sz="0" w:space="0" w:color="auto"/>
          </w:divBdr>
        </w:div>
        <w:div w:id="1737360417">
          <w:marLeft w:val="0"/>
          <w:marRight w:val="0"/>
          <w:marTop w:val="0"/>
          <w:marBottom w:val="0"/>
          <w:divBdr>
            <w:top w:val="none" w:sz="0" w:space="0" w:color="auto"/>
            <w:left w:val="none" w:sz="0" w:space="0" w:color="auto"/>
            <w:bottom w:val="none" w:sz="0" w:space="0" w:color="auto"/>
            <w:right w:val="none" w:sz="0" w:space="0" w:color="auto"/>
          </w:divBdr>
        </w:div>
        <w:div w:id="1836455017">
          <w:marLeft w:val="0"/>
          <w:marRight w:val="0"/>
          <w:marTop w:val="0"/>
          <w:marBottom w:val="0"/>
          <w:divBdr>
            <w:top w:val="none" w:sz="0" w:space="0" w:color="auto"/>
            <w:left w:val="none" w:sz="0" w:space="0" w:color="auto"/>
            <w:bottom w:val="none" w:sz="0" w:space="0" w:color="auto"/>
            <w:right w:val="none" w:sz="0" w:space="0" w:color="auto"/>
          </w:divBdr>
        </w:div>
        <w:div w:id="182591344">
          <w:marLeft w:val="0"/>
          <w:marRight w:val="0"/>
          <w:marTop w:val="0"/>
          <w:marBottom w:val="0"/>
          <w:divBdr>
            <w:top w:val="none" w:sz="0" w:space="0" w:color="auto"/>
            <w:left w:val="none" w:sz="0" w:space="0" w:color="auto"/>
            <w:bottom w:val="none" w:sz="0" w:space="0" w:color="auto"/>
            <w:right w:val="none" w:sz="0" w:space="0" w:color="auto"/>
          </w:divBdr>
        </w:div>
      </w:divsChild>
    </w:div>
    <w:div w:id="780151041">
      <w:bodyDiv w:val="1"/>
      <w:marLeft w:val="0"/>
      <w:marRight w:val="0"/>
      <w:marTop w:val="0"/>
      <w:marBottom w:val="0"/>
      <w:divBdr>
        <w:top w:val="none" w:sz="0" w:space="0" w:color="auto"/>
        <w:left w:val="none" w:sz="0" w:space="0" w:color="auto"/>
        <w:bottom w:val="none" w:sz="0" w:space="0" w:color="auto"/>
        <w:right w:val="none" w:sz="0" w:space="0" w:color="auto"/>
      </w:divBdr>
    </w:div>
    <w:div w:id="834109241">
      <w:bodyDiv w:val="1"/>
      <w:marLeft w:val="0"/>
      <w:marRight w:val="0"/>
      <w:marTop w:val="0"/>
      <w:marBottom w:val="0"/>
      <w:divBdr>
        <w:top w:val="none" w:sz="0" w:space="0" w:color="auto"/>
        <w:left w:val="none" w:sz="0" w:space="0" w:color="auto"/>
        <w:bottom w:val="none" w:sz="0" w:space="0" w:color="auto"/>
        <w:right w:val="none" w:sz="0" w:space="0" w:color="auto"/>
      </w:divBdr>
    </w:div>
    <w:div w:id="1400056578">
      <w:bodyDiv w:val="1"/>
      <w:marLeft w:val="0"/>
      <w:marRight w:val="0"/>
      <w:marTop w:val="0"/>
      <w:marBottom w:val="0"/>
      <w:divBdr>
        <w:top w:val="none" w:sz="0" w:space="0" w:color="auto"/>
        <w:left w:val="none" w:sz="0" w:space="0" w:color="auto"/>
        <w:bottom w:val="none" w:sz="0" w:space="0" w:color="auto"/>
        <w:right w:val="none" w:sz="0" w:space="0" w:color="auto"/>
      </w:divBdr>
      <w:divsChild>
        <w:div w:id="1724937877">
          <w:marLeft w:val="360"/>
          <w:marRight w:val="0"/>
          <w:marTop w:val="200"/>
          <w:marBottom w:val="0"/>
          <w:divBdr>
            <w:top w:val="none" w:sz="0" w:space="0" w:color="auto"/>
            <w:left w:val="none" w:sz="0" w:space="0" w:color="auto"/>
            <w:bottom w:val="none" w:sz="0" w:space="0" w:color="auto"/>
            <w:right w:val="none" w:sz="0" w:space="0" w:color="auto"/>
          </w:divBdr>
        </w:div>
        <w:div w:id="1072847193">
          <w:marLeft w:val="360"/>
          <w:marRight w:val="0"/>
          <w:marTop w:val="200"/>
          <w:marBottom w:val="0"/>
          <w:divBdr>
            <w:top w:val="none" w:sz="0" w:space="0" w:color="auto"/>
            <w:left w:val="none" w:sz="0" w:space="0" w:color="auto"/>
            <w:bottom w:val="none" w:sz="0" w:space="0" w:color="auto"/>
            <w:right w:val="none" w:sz="0" w:space="0" w:color="auto"/>
          </w:divBdr>
        </w:div>
        <w:div w:id="819806521">
          <w:marLeft w:val="360"/>
          <w:marRight w:val="0"/>
          <w:marTop w:val="200"/>
          <w:marBottom w:val="0"/>
          <w:divBdr>
            <w:top w:val="none" w:sz="0" w:space="0" w:color="auto"/>
            <w:left w:val="none" w:sz="0" w:space="0" w:color="auto"/>
            <w:bottom w:val="none" w:sz="0" w:space="0" w:color="auto"/>
            <w:right w:val="none" w:sz="0" w:space="0" w:color="auto"/>
          </w:divBdr>
        </w:div>
        <w:div w:id="312218414">
          <w:marLeft w:val="360"/>
          <w:marRight w:val="0"/>
          <w:marTop w:val="200"/>
          <w:marBottom w:val="0"/>
          <w:divBdr>
            <w:top w:val="none" w:sz="0" w:space="0" w:color="auto"/>
            <w:left w:val="none" w:sz="0" w:space="0" w:color="auto"/>
            <w:bottom w:val="none" w:sz="0" w:space="0" w:color="auto"/>
            <w:right w:val="none" w:sz="0" w:space="0" w:color="auto"/>
          </w:divBdr>
        </w:div>
      </w:divsChild>
    </w:div>
    <w:div w:id="16454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5316CB-83C8-4AEA-A4F1-CB277901F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069E9-5D8A-4ABA-B3C6-89846D01E4C5}">
  <ds:schemaRefs>
    <ds:schemaRef ds:uri="http://schemas.microsoft.com/sharepoint/v3/contenttype/forms"/>
  </ds:schemaRefs>
</ds:datastoreItem>
</file>

<file path=customXml/itemProps3.xml><?xml version="1.0" encoding="utf-8"?>
<ds:datastoreItem xmlns:ds="http://schemas.openxmlformats.org/officeDocument/2006/customXml" ds:itemID="{63CCB101-29B8-4528-B6DC-0C9F628B7987}">
  <ds:schemaRefs>
    <ds:schemaRef ds:uri="http://purl.org/dc/dcmitype/"/>
    <ds:schemaRef ds:uri="9c8a2b7b-0bee-4c48-b0a6-23db8982d3bc"/>
    <ds:schemaRef ds:uri="http://purl.org/dc/terms/"/>
    <ds:schemaRef ds:uri="http://schemas.microsoft.com/office/infopath/2007/PartnerControls"/>
    <ds:schemaRef ds:uri="http://schemas.openxmlformats.org/package/2006/metadata/core-properties"/>
    <ds:schemaRef ds:uri="cab52c9b-ab33-4221-8af9-54f8f2b86a80"/>
    <ds:schemaRef ds:uri="http://schemas.microsoft.com/office/2006/documentManagement/types"/>
    <ds:schemaRef ds:uri="http://schemas.microsoft.com/office/2006/metadata/properties"/>
    <ds:schemaRef ds:uri="6911e96c-4cc4-42d5-8e43-f93924cf6a0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Jiahua Wu (Northern Sydney LHD)</dc:creator>
  <cp:keywords/>
  <dc:description/>
  <cp:lastModifiedBy>Tanya Yandall</cp:lastModifiedBy>
  <cp:revision>3</cp:revision>
  <dcterms:created xsi:type="dcterms:W3CDTF">2025-05-24T05:33:00Z</dcterms:created>
  <dcterms:modified xsi:type="dcterms:W3CDTF">2025-05-24T05:33:00Z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