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6A5AF4" w:rsidRPr="00C42658" w14:paraId="4B4B7AF5" w14:textId="77777777" w:rsidTr="002B1C2C">
        <w:tc>
          <w:tcPr>
            <w:tcW w:w="8640" w:type="dxa"/>
            <w:shd w:val="clear" w:color="auto" w:fill="F2F2F2" w:themeFill="background1" w:themeFillShade="F2"/>
          </w:tcPr>
          <w:p w14:paraId="715DC7C5" w14:textId="17A18638" w:rsidR="006A5AF4" w:rsidRPr="00C42658" w:rsidRDefault="00C42658" w:rsidP="002B1C2C">
            <w:pPr>
              <w:jc w:val="both"/>
              <w:rPr>
                <w:rFonts w:ascii="Arial" w:hAnsi="Arial" w:cs="Arial"/>
                <w:bCs/>
                <w:i/>
                <w:iCs/>
                <w:sz w:val="22"/>
                <w:szCs w:val="22"/>
                <w:u w:val="single"/>
              </w:rPr>
            </w:pPr>
            <w:r w:rsidRPr="00C42658">
              <w:rPr>
                <w:rFonts w:ascii="Arial" w:hAnsi="Arial" w:cs="Arial"/>
                <w:bCs/>
                <w:i/>
                <w:iCs/>
                <w:sz w:val="22"/>
                <w:szCs w:val="22"/>
              </w:rPr>
              <w:t>Paper</w:t>
            </w:r>
          </w:p>
          <w:p w14:paraId="35C5C29C" w14:textId="173E870C" w:rsidR="006A5AF4" w:rsidRPr="00C42658" w:rsidRDefault="006A5AF4" w:rsidP="002B1C2C">
            <w:pPr>
              <w:jc w:val="both"/>
              <w:rPr>
                <w:rFonts w:ascii="Arial" w:hAnsi="Arial" w:cs="Arial"/>
                <w:b/>
                <w:bCs/>
                <w:sz w:val="22"/>
                <w:szCs w:val="22"/>
              </w:rPr>
            </w:pPr>
            <w:r w:rsidRPr="00C42658">
              <w:rPr>
                <w:rFonts w:ascii="Arial" w:hAnsi="Arial" w:cs="Arial"/>
                <w:b/>
                <w:bCs/>
                <w:sz w:val="22"/>
                <w:szCs w:val="22"/>
              </w:rPr>
              <w:t>Making the business case for investment in climate change resilience: experience</w:t>
            </w:r>
            <w:r w:rsidR="008E6BD9" w:rsidRPr="00C42658">
              <w:rPr>
                <w:rFonts w:ascii="Arial" w:hAnsi="Arial" w:cs="Arial"/>
                <w:b/>
                <w:bCs/>
                <w:sz w:val="22"/>
                <w:szCs w:val="22"/>
              </w:rPr>
              <w:t>s</w:t>
            </w:r>
            <w:r w:rsidRPr="00C42658">
              <w:rPr>
                <w:rFonts w:ascii="Arial" w:hAnsi="Arial" w:cs="Arial"/>
                <w:b/>
                <w:bCs/>
                <w:sz w:val="22"/>
                <w:szCs w:val="22"/>
              </w:rPr>
              <w:t xml:space="preserve"> from the waterborne transport infrastructure sector  </w:t>
            </w:r>
          </w:p>
          <w:p w14:paraId="7EC79FD4" w14:textId="77777777" w:rsidR="006A5AF4" w:rsidRPr="00C42658" w:rsidRDefault="006A5AF4" w:rsidP="002B1C2C">
            <w:pPr>
              <w:tabs>
                <w:tab w:val="left" w:pos="3386"/>
              </w:tabs>
              <w:jc w:val="both"/>
              <w:rPr>
                <w:rFonts w:ascii="Arial" w:hAnsi="Arial" w:cs="Arial"/>
                <w:b/>
                <w:bCs/>
                <w:sz w:val="22"/>
                <w:szCs w:val="22"/>
              </w:rPr>
            </w:pPr>
          </w:p>
        </w:tc>
      </w:tr>
      <w:tr w:rsidR="006A5AF4" w:rsidRPr="00C42658" w14:paraId="267021C0" w14:textId="77777777" w:rsidTr="002B1C2C">
        <w:trPr>
          <w:trHeight w:val="3124"/>
        </w:trPr>
        <w:tc>
          <w:tcPr>
            <w:tcW w:w="8640" w:type="dxa"/>
          </w:tcPr>
          <w:p w14:paraId="32D261F0" w14:textId="77777777" w:rsidR="006A5AF4" w:rsidRPr="00C42658" w:rsidRDefault="006A5AF4" w:rsidP="002B1C2C">
            <w:pPr>
              <w:jc w:val="both"/>
              <w:rPr>
                <w:rFonts w:ascii="Arial" w:hAnsi="Arial" w:cs="Arial"/>
                <w:b/>
                <w:sz w:val="22"/>
                <w:szCs w:val="22"/>
              </w:rPr>
            </w:pPr>
          </w:p>
          <w:p w14:paraId="4C040496" w14:textId="77777777" w:rsidR="006A5AF4" w:rsidRPr="00C42658" w:rsidRDefault="006A5AF4" w:rsidP="002B1C2C">
            <w:pPr>
              <w:spacing w:after="160" w:line="278" w:lineRule="auto"/>
              <w:rPr>
                <w:rFonts w:ascii="Arial" w:hAnsi="Arial" w:cs="Arial"/>
                <w:b/>
                <w:bCs/>
                <w:sz w:val="22"/>
                <w:szCs w:val="22"/>
              </w:rPr>
            </w:pPr>
            <w:r w:rsidRPr="00C42658">
              <w:rPr>
                <w:rFonts w:ascii="Arial" w:hAnsi="Arial" w:cs="Arial"/>
                <w:b/>
                <w:bCs/>
                <w:sz w:val="22"/>
                <w:szCs w:val="22"/>
              </w:rPr>
              <w:t xml:space="preserve">Introduction </w:t>
            </w:r>
          </w:p>
          <w:p w14:paraId="5130C482" w14:textId="5C320BDA" w:rsidR="00F040D4" w:rsidRPr="00C42658" w:rsidRDefault="006A5AF4" w:rsidP="002B1C2C">
            <w:pPr>
              <w:tabs>
                <w:tab w:val="num" w:pos="720"/>
              </w:tabs>
              <w:spacing w:after="160" w:line="278" w:lineRule="auto"/>
              <w:rPr>
                <w:rFonts w:ascii="Arial" w:hAnsi="Arial" w:cs="Arial"/>
                <w:sz w:val="22"/>
                <w:szCs w:val="22"/>
              </w:rPr>
            </w:pPr>
            <w:r w:rsidRPr="00C42658">
              <w:rPr>
                <w:rFonts w:ascii="Arial" w:hAnsi="Arial" w:cs="Arial"/>
                <w:sz w:val="22"/>
                <w:szCs w:val="22"/>
              </w:rPr>
              <w:t>For infrastructure operators, justifying expenditure on climate change adaptation and strengthened resilience can be challenging. Many existing business models use a</w:t>
            </w:r>
            <w:r w:rsidR="00F040D4" w:rsidRPr="00C42658">
              <w:rPr>
                <w:rFonts w:ascii="Arial" w:hAnsi="Arial" w:cs="Arial"/>
                <w:sz w:val="22"/>
                <w:szCs w:val="22"/>
              </w:rPr>
              <w:t xml:space="preserve"> 5–10-year planning horizon</w:t>
            </w:r>
            <w:r w:rsidRPr="00C42658">
              <w:rPr>
                <w:rFonts w:ascii="Arial" w:hAnsi="Arial" w:cs="Arial"/>
                <w:sz w:val="22"/>
                <w:szCs w:val="22"/>
              </w:rPr>
              <w:t xml:space="preserve">, constraining consideration of typically much longer-term climate change investment requirements. Furthermore, despite growing academic evidence </w:t>
            </w:r>
            <w:r w:rsidR="008E6BD9" w:rsidRPr="00C42658">
              <w:rPr>
                <w:rFonts w:ascii="Arial" w:hAnsi="Arial" w:cs="Arial"/>
                <w:sz w:val="22"/>
                <w:szCs w:val="22"/>
              </w:rPr>
              <w:t xml:space="preserve">that early adaptation action can have significant </w:t>
            </w:r>
            <w:r w:rsidRPr="00C42658">
              <w:rPr>
                <w:rFonts w:ascii="Arial" w:hAnsi="Arial" w:cs="Arial"/>
                <w:sz w:val="22"/>
                <w:szCs w:val="22"/>
              </w:rPr>
              <w:t xml:space="preserve">economic benefits, understanding of the costs and consequences of climate change inaction </w:t>
            </w:r>
            <w:r w:rsidR="008E6BD9" w:rsidRPr="00C42658">
              <w:rPr>
                <w:rFonts w:ascii="Arial" w:hAnsi="Arial" w:cs="Arial"/>
                <w:sz w:val="22"/>
                <w:szCs w:val="22"/>
              </w:rPr>
              <w:t xml:space="preserve">remains </w:t>
            </w:r>
            <w:r w:rsidRPr="00C42658">
              <w:rPr>
                <w:rFonts w:ascii="Arial" w:hAnsi="Arial" w:cs="Arial"/>
                <w:sz w:val="22"/>
                <w:szCs w:val="22"/>
              </w:rPr>
              <w:t>limited</w:t>
            </w:r>
            <w:r w:rsidR="008E6BD9" w:rsidRPr="00C42658">
              <w:rPr>
                <w:rFonts w:ascii="Arial" w:hAnsi="Arial" w:cs="Arial"/>
                <w:sz w:val="22"/>
                <w:szCs w:val="22"/>
              </w:rPr>
              <w:t xml:space="preserve"> in many sectors</w:t>
            </w:r>
            <w:r w:rsidRPr="00C42658">
              <w:rPr>
                <w:rFonts w:ascii="Arial" w:hAnsi="Arial" w:cs="Arial"/>
                <w:sz w:val="22"/>
                <w:szCs w:val="22"/>
              </w:rPr>
              <w:t>. The ‘losses-avoided’ principle is also currently unfamiliar to many of those involved in waterborne transport infrastructure investment decision-making</w:t>
            </w:r>
            <w:r w:rsidR="008E6BD9" w:rsidRPr="00C42658">
              <w:rPr>
                <w:rFonts w:ascii="Arial" w:hAnsi="Arial" w:cs="Arial"/>
                <w:sz w:val="22"/>
                <w:szCs w:val="22"/>
              </w:rPr>
              <w:t>, and t</w:t>
            </w:r>
            <w:r w:rsidRPr="00C42658">
              <w:rPr>
                <w:rFonts w:ascii="Arial" w:hAnsi="Arial" w:cs="Arial"/>
                <w:sz w:val="22"/>
                <w:szCs w:val="22"/>
              </w:rPr>
              <w:t xml:space="preserve">he ‘triple dividend’ benefits concept is even less well understood. </w:t>
            </w:r>
            <w:r w:rsidR="00F040D4" w:rsidRPr="00C42658">
              <w:rPr>
                <w:rFonts w:ascii="Arial" w:hAnsi="Arial" w:cs="Arial"/>
                <w:sz w:val="22"/>
                <w:szCs w:val="22"/>
              </w:rPr>
              <w:t xml:space="preserve"> </w:t>
            </w:r>
          </w:p>
          <w:p w14:paraId="56EF9D25" w14:textId="74E39984" w:rsidR="006A5AF4" w:rsidRPr="00C42658" w:rsidRDefault="006A5AF4" w:rsidP="002B1C2C">
            <w:pPr>
              <w:spacing w:after="160" w:line="278" w:lineRule="auto"/>
              <w:rPr>
                <w:rFonts w:ascii="Arial" w:hAnsi="Arial" w:cs="Arial"/>
                <w:sz w:val="22"/>
                <w:szCs w:val="22"/>
              </w:rPr>
            </w:pPr>
            <w:r w:rsidRPr="00C42658">
              <w:rPr>
                <w:rFonts w:ascii="Arial" w:hAnsi="Arial" w:cs="Arial"/>
                <w:sz w:val="22"/>
                <w:szCs w:val="22"/>
              </w:rPr>
              <w:t>In 2020, PIANC (the World Association for Waterborne Transport Infrastructure) published the report of its expert working group on Climate Change Adaptation Planning for Ports and Waterways. Even during the preparation of this guidance, however, it was clear that a lack of understanding of how to make the business case for investment was a significant barrier to delivering adaptation and resilience action</w:t>
            </w:r>
            <w:r w:rsidR="008E6BD9" w:rsidRPr="00C42658">
              <w:rPr>
                <w:rFonts w:ascii="Arial" w:hAnsi="Arial" w:cs="Arial"/>
                <w:sz w:val="22"/>
                <w:szCs w:val="22"/>
              </w:rPr>
              <w:t xml:space="preserve"> in the sector</w:t>
            </w:r>
            <w:r w:rsidRPr="00C42658">
              <w:rPr>
                <w:rFonts w:ascii="Arial" w:hAnsi="Arial" w:cs="Arial"/>
                <w:sz w:val="22"/>
                <w:szCs w:val="22"/>
              </w:rPr>
              <w:t>.</w:t>
            </w:r>
          </w:p>
          <w:p w14:paraId="416C8030" w14:textId="77777777" w:rsidR="006A5AF4" w:rsidRPr="00C42658" w:rsidRDefault="006A5AF4" w:rsidP="002B1C2C">
            <w:pPr>
              <w:spacing w:after="160" w:line="278" w:lineRule="auto"/>
              <w:rPr>
                <w:rFonts w:ascii="Arial" w:hAnsi="Arial" w:cs="Arial"/>
                <w:b/>
                <w:bCs/>
                <w:sz w:val="22"/>
                <w:szCs w:val="22"/>
              </w:rPr>
            </w:pPr>
            <w:r w:rsidRPr="00C42658">
              <w:rPr>
                <w:rFonts w:ascii="Arial" w:hAnsi="Arial" w:cs="Arial"/>
                <w:b/>
                <w:bCs/>
                <w:sz w:val="22"/>
                <w:szCs w:val="22"/>
              </w:rPr>
              <w:t xml:space="preserve">Objectives and methodology </w:t>
            </w:r>
          </w:p>
          <w:p w14:paraId="7A7E92EA" w14:textId="0D1365A3" w:rsidR="006A5AF4" w:rsidRPr="00C42658" w:rsidRDefault="006A5AF4" w:rsidP="002B1C2C">
            <w:pPr>
              <w:tabs>
                <w:tab w:val="num" w:pos="1440"/>
              </w:tabs>
              <w:spacing w:after="160" w:line="278" w:lineRule="auto"/>
              <w:rPr>
                <w:rFonts w:ascii="Arial" w:hAnsi="Arial" w:cs="Arial"/>
                <w:sz w:val="22"/>
                <w:szCs w:val="22"/>
              </w:rPr>
            </w:pPr>
            <w:r w:rsidRPr="00C42658">
              <w:rPr>
                <w:rFonts w:ascii="Arial" w:hAnsi="Arial" w:cs="Arial"/>
                <w:sz w:val="22"/>
                <w:szCs w:val="22"/>
              </w:rPr>
              <w:t xml:space="preserve">Climate change is a business risk. By reducing risk, adaptation action delivers multiple benefits: avoiding/reducing economic losses; bringing positive gains by safeguarding investment or enabling increased productivity; and delivering social and environmental benefits. However, these concepts needed communicating in a </w:t>
            </w:r>
            <w:r w:rsidR="008E6BD9" w:rsidRPr="00C42658">
              <w:rPr>
                <w:rFonts w:ascii="Arial" w:hAnsi="Arial" w:cs="Arial"/>
                <w:sz w:val="22"/>
                <w:szCs w:val="22"/>
              </w:rPr>
              <w:t xml:space="preserve">way that was </w:t>
            </w:r>
            <w:r w:rsidRPr="00C42658">
              <w:rPr>
                <w:rFonts w:ascii="Arial" w:hAnsi="Arial" w:cs="Arial"/>
                <w:sz w:val="22"/>
                <w:szCs w:val="22"/>
              </w:rPr>
              <w:t xml:space="preserve">meaningful to navigation infrastructure owners and operators. In 2024, PIANC’s Permanent Task Group on Climate Change </w:t>
            </w:r>
            <w:r w:rsidR="009C3B12" w:rsidRPr="00C42658">
              <w:rPr>
                <w:rFonts w:ascii="Arial" w:hAnsi="Arial" w:cs="Arial"/>
                <w:sz w:val="22"/>
                <w:szCs w:val="22"/>
              </w:rPr>
              <w:t xml:space="preserve">(PTGCC) </w:t>
            </w:r>
            <w:r w:rsidRPr="00C42658">
              <w:rPr>
                <w:rFonts w:ascii="Arial" w:hAnsi="Arial" w:cs="Arial"/>
                <w:sz w:val="22"/>
                <w:szCs w:val="22"/>
              </w:rPr>
              <w:t xml:space="preserve">therefore prepared a supplement to WG 178 – a Technical Note </w:t>
            </w:r>
            <w:r w:rsidR="008E6BD9" w:rsidRPr="00C42658">
              <w:rPr>
                <w:rFonts w:ascii="Arial" w:hAnsi="Arial" w:cs="Arial"/>
                <w:sz w:val="22"/>
                <w:szCs w:val="22"/>
              </w:rPr>
              <w:t xml:space="preserve">(No.2) </w:t>
            </w:r>
            <w:r w:rsidRPr="00C42658">
              <w:rPr>
                <w:rFonts w:ascii="Arial" w:hAnsi="Arial" w:cs="Arial"/>
                <w:sz w:val="22"/>
                <w:szCs w:val="22"/>
              </w:rPr>
              <w:t xml:space="preserve">entitled Climate Change Costs to Ports and Waterways: Scoping the Business Case Assessment for Investment in Adaptation.  </w:t>
            </w:r>
          </w:p>
          <w:p w14:paraId="64D72746" w14:textId="77777777" w:rsidR="006A5AF4" w:rsidRPr="00C42658" w:rsidRDefault="006A5AF4" w:rsidP="002B1C2C">
            <w:pPr>
              <w:spacing w:after="160" w:line="278" w:lineRule="auto"/>
              <w:rPr>
                <w:rFonts w:ascii="Arial" w:hAnsi="Arial" w:cs="Arial"/>
                <w:b/>
                <w:bCs/>
                <w:sz w:val="22"/>
                <w:szCs w:val="22"/>
              </w:rPr>
            </w:pPr>
            <w:r w:rsidRPr="00C42658">
              <w:rPr>
                <w:rFonts w:ascii="Arial" w:hAnsi="Arial" w:cs="Arial"/>
                <w:b/>
                <w:bCs/>
                <w:sz w:val="22"/>
                <w:szCs w:val="22"/>
              </w:rPr>
              <w:t xml:space="preserve">Findings and significance of work for policy and practice </w:t>
            </w:r>
          </w:p>
          <w:p w14:paraId="2D0A8378" w14:textId="47500251" w:rsidR="006A5AF4" w:rsidRPr="00C42658" w:rsidRDefault="006A5AF4" w:rsidP="002B1C2C">
            <w:pPr>
              <w:tabs>
                <w:tab w:val="num" w:pos="1440"/>
              </w:tabs>
              <w:spacing w:after="160" w:line="278" w:lineRule="auto"/>
              <w:rPr>
                <w:rFonts w:ascii="Arial" w:hAnsi="Arial" w:cs="Arial"/>
                <w:sz w:val="22"/>
                <w:szCs w:val="22"/>
              </w:rPr>
            </w:pPr>
            <w:r w:rsidRPr="00C42658">
              <w:rPr>
                <w:rFonts w:ascii="Arial" w:hAnsi="Arial" w:cs="Arial"/>
                <w:sz w:val="22"/>
                <w:szCs w:val="22"/>
              </w:rPr>
              <w:t>Surveys undertaken by PIANC and other organisations highlighted the costs and consequences of extreme weather events</w:t>
            </w:r>
            <w:r w:rsidR="008E6BD9" w:rsidRPr="00C42658">
              <w:rPr>
                <w:rFonts w:ascii="Arial" w:hAnsi="Arial" w:cs="Arial"/>
                <w:sz w:val="22"/>
                <w:szCs w:val="22"/>
              </w:rPr>
              <w:t>. These</w:t>
            </w:r>
            <w:r w:rsidRPr="00C42658">
              <w:rPr>
                <w:rFonts w:ascii="Arial" w:hAnsi="Arial" w:cs="Arial"/>
                <w:sz w:val="22"/>
                <w:szCs w:val="22"/>
              </w:rPr>
              <w:t xml:space="preserve"> helped to communicate the risks of climate change inaction. Inaction in this context is not only a failure to raise, strengthen or modify infrastructure, but also a failure to carry out proper maintenance or to take other (non-structural) preparatory action.</w:t>
            </w:r>
          </w:p>
          <w:p w14:paraId="076260AC" w14:textId="07F5FD27" w:rsidR="006A5AF4" w:rsidRPr="00C42658" w:rsidRDefault="006A5AF4" w:rsidP="002B1C2C">
            <w:pPr>
              <w:tabs>
                <w:tab w:val="num" w:pos="720"/>
              </w:tabs>
              <w:spacing w:after="160" w:line="278" w:lineRule="auto"/>
              <w:rPr>
                <w:rFonts w:ascii="Arial" w:hAnsi="Arial" w:cs="Arial"/>
                <w:sz w:val="22"/>
                <w:szCs w:val="22"/>
              </w:rPr>
            </w:pPr>
            <w:r w:rsidRPr="00C42658">
              <w:rPr>
                <w:rFonts w:ascii="Arial" w:hAnsi="Arial" w:cs="Arial"/>
                <w:sz w:val="22"/>
                <w:szCs w:val="22"/>
              </w:rPr>
              <w:t>Adaptation action within the waterborne transport</w:t>
            </w:r>
            <w:r w:rsidR="008E6BD9" w:rsidRPr="00C42658">
              <w:rPr>
                <w:rFonts w:ascii="Arial" w:hAnsi="Arial" w:cs="Arial"/>
                <w:sz w:val="22"/>
                <w:szCs w:val="22"/>
              </w:rPr>
              <w:t xml:space="preserve"> infrastructure </w:t>
            </w:r>
            <w:r w:rsidRPr="00C42658">
              <w:rPr>
                <w:rFonts w:ascii="Arial" w:hAnsi="Arial" w:cs="Arial"/>
                <w:sz w:val="22"/>
                <w:szCs w:val="22"/>
              </w:rPr>
              <w:t xml:space="preserve">sector to date has typically been motivated by experience of unprecedented hydrometeorological events or more frequent extreme conditions. Regulatory compliance and corporate good practice are also drivers. Evolving initiatives likely to incentivise </w:t>
            </w:r>
            <w:r w:rsidR="008E6BD9" w:rsidRPr="00C42658">
              <w:rPr>
                <w:rFonts w:ascii="Arial" w:hAnsi="Arial" w:cs="Arial"/>
                <w:sz w:val="22"/>
                <w:szCs w:val="22"/>
              </w:rPr>
              <w:t xml:space="preserve">future </w:t>
            </w:r>
            <w:r w:rsidRPr="00C42658">
              <w:rPr>
                <w:rFonts w:ascii="Arial" w:hAnsi="Arial" w:cs="Arial"/>
                <w:sz w:val="22"/>
                <w:szCs w:val="22"/>
              </w:rPr>
              <w:t xml:space="preserve">adaptation action are underway in the insurance and finance sectors, and there is growing attention to climate-related financial risk disclosure in the private sector. </w:t>
            </w:r>
          </w:p>
          <w:p w14:paraId="6423644C" w14:textId="5E31EBFF" w:rsidR="006A5AF4" w:rsidRPr="00C42658" w:rsidRDefault="006A5AF4" w:rsidP="002B1C2C">
            <w:pPr>
              <w:tabs>
                <w:tab w:val="num" w:pos="720"/>
              </w:tabs>
              <w:spacing w:after="160" w:line="278" w:lineRule="auto"/>
              <w:rPr>
                <w:rFonts w:ascii="Arial" w:hAnsi="Arial" w:cs="Arial"/>
                <w:sz w:val="22"/>
                <w:szCs w:val="22"/>
              </w:rPr>
            </w:pPr>
            <w:r w:rsidRPr="00C42658">
              <w:rPr>
                <w:rFonts w:ascii="Arial" w:hAnsi="Arial" w:cs="Arial"/>
                <w:sz w:val="22"/>
                <w:szCs w:val="22"/>
              </w:rPr>
              <w:lastRenderedPageBreak/>
              <w:t>Understanding both motivating factors and perceived challenges allowed the</w:t>
            </w:r>
            <w:r w:rsidR="009C3B12" w:rsidRPr="00C42658">
              <w:rPr>
                <w:rFonts w:ascii="Arial" w:hAnsi="Arial" w:cs="Arial"/>
                <w:sz w:val="22"/>
                <w:szCs w:val="22"/>
              </w:rPr>
              <w:t xml:space="preserve"> PTGCC</w:t>
            </w:r>
            <w:r w:rsidRPr="00C42658">
              <w:rPr>
                <w:rFonts w:ascii="Arial" w:hAnsi="Arial" w:cs="Arial"/>
                <w:sz w:val="22"/>
                <w:szCs w:val="22"/>
              </w:rPr>
              <w:t xml:space="preserve"> team to develop </w:t>
            </w:r>
            <w:r w:rsidR="009C3B12" w:rsidRPr="00C42658">
              <w:rPr>
                <w:rFonts w:ascii="Arial" w:hAnsi="Arial" w:cs="Arial"/>
                <w:sz w:val="22"/>
                <w:szCs w:val="22"/>
              </w:rPr>
              <w:t xml:space="preserve">a series of </w:t>
            </w:r>
            <w:r w:rsidRPr="00C42658">
              <w:rPr>
                <w:rFonts w:ascii="Arial" w:hAnsi="Arial" w:cs="Arial"/>
                <w:sz w:val="22"/>
                <w:szCs w:val="22"/>
              </w:rPr>
              <w:t xml:space="preserve">general principles to </w:t>
            </w:r>
            <w:r w:rsidR="009C3B12" w:rsidRPr="00C42658">
              <w:rPr>
                <w:rFonts w:ascii="Arial" w:hAnsi="Arial" w:cs="Arial"/>
                <w:sz w:val="22"/>
                <w:szCs w:val="22"/>
              </w:rPr>
              <w:t xml:space="preserve">inform </w:t>
            </w:r>
            <w:r w:rsidRPr="00C42658">
              <w:rPr>
                <w:rFonts w:ascii="Arial" w:hAnsi="Arial" w:cs="Arial"/>
                <w:sz w:val="22"/>
                <w:szCs w:val="22"/>
              </w:rPr>
              <w:t xml:space="preserve">the scoping of a business case for adaptation investment, presented via a series of questions: </w:t>
            </w:r>
          </w:p>
          <w:p w14:paraId="3CCBB231" w14:textId="77777777" w:rsidR="00E40AE3" w:rsidRPr="00C42658" w:rsidRDefault="00C42658" w:rsidP="006A5AF4">
            <w:pPr>
              <w:numPr>
                <w:ilvl w:val="0"/>
                <w:numId w:val="9"/>
              </w:numPr>
              <w:tabs>
                <w:tab w:val="num" w:pos="1440"/>
              </w:tabs>
              <w:spacing w:after="160" w:line="278" w:lineRule="auto"/>
              <w:contextualSpacing/>
              <w:rPr>
                <w:rFonts w:ascii="Arial" w:hAnsi="Arial" w:cs="Arial"/>
                <w:sz w:val="22"/>
                <w:szCs w:val="22"/>
              </w:rPr>
            </w:pPr>
            <w:r w:rsidRPr="00C42658">
              <w:rPr>
                <w:rFonts w:ascii="Arial" w:hAnsi="Arial" w:cs="Arial"/>
                <w:sz w:val="22"/>
                <w:szCs w:val="22"/>
              </w:rPr>
              <w:t xml:space="preserve">Have risk assessments been undertaken and financial loss exposure </w:t>
            </w:r>
            <w:r w:rsidR="006A5AF4" w:rsidRPr="00C42658">
              <w:rPr>
                <w:rFonts w:ascii="Arial" w:hAnsi="Arial" w:cs="Arial"/>
                <w:sz w:val="22"/>
                <w:szCs w:val="22"/>
              </w:rPr>
              <w:t xml:space="preserve">quantified </w:t>
            </w:r>
            <w:r w:rsidRPr="00C42658">
              <w:rPr>
                <w:rFonts w:ascii="Arial" w:hAnsi="Arial" w:cs="Arial"/>
                <w:sz w:val="22"/>
                <w:szCs w:val="22"/>
              </w:rPr>
              <w:t xml:space="preserve">for different </w:t>
            </w:r>
            <w:r w:rsidR="006A5AF4" w:rsidRPr="00C42658">
              <w:rPr>
                <w:rFonts w:ascii="Arial" w:hAnsi="Arial" w:cs="Arial"/>
                <w:sz w:val="22"/>
                <w:szCs w:val="22"/>
              </w:rPr>
              <w:t xml:space="preserve">climate change </w:t>
            </w:r>
            <w:r w:rsidRPr="00C42658">
              <w:rPr>
                <w:rFonts w:ascii="Arial" w:hAnsi="Arial" w:cs="Arial"/>
                <w:sz w:val="22"/>
                <w:szCs w:val="22"/>
              </w:rPr>
              <w:t>scenarios</w:t>
            </w:r>
            <w:r w:rsidR="006A5AF4" w:rsidRPr="00C42658">
              <w:rPr>
                <w:rFonts w:ascii="Arial" w:hAnsi="Arial" w:cs="Arial"/>
                <w:sz w:val="22"/>
                <w:szCs w:val="22"/>
              </w:rPr>
              <w:t xml:space="preserve">, including </w:t>
            </w:r>
            <w:r w:rsidRPr="00C42658">
              <w:rPr>
                <w:rFonts w:ascii="Arial" w:hAnsi="Arial" w:cs="Arial"/>
                <w:sz w:val="22"/>
                <w:szCs w:val="22"/>
              </w:rPr>
              <w:t>risks to physical assets</w:t>
            </w:r>
            <w:r w:rsidR="006A5AF4" w:rsidRPr="00C42658">
              <w:rPr>
                <w:rFonts w:ascii="Arial" w:hAnsi="Arial" w:cs="Arial"/>
                <w:sz w:val="22"/>
                <w:szCs w:val="22"/>
              </w:rPr>
              <w:t xml:space="preserve"> and </w:t>
            </w:r>
            <w:r w:rsidRPr="00C42658">
              <w:rPr>
                <w:rFonts w:ascii="Arial" w:hAnsi="Arial" w:cs="Arial"/>
                <w:sz w:val="22"/>
                <w:szCs w:val="22"/>
              </w:rPr>
              <w:t>operations</w:t>
            </w:r>
            <w:r w:rsidR="006A5AF4" w:rsidRPr="00C42658">
              <w:rPr>
                <w:rFonts w:ascii="Arial" w:hAnsi="Arial" w:cs="Arial"/>
                <w:sz w:val="22"/>
                <w:szCs w:val="22"/>
              </w:rPr>
              <w:t xml:space="preserve"> as well as </w:t>
            </w:r>
            <w:r w:rsidRPr="00C42658">
              <w:rPr>
                <w:rFonts w:ascii="Arial" w:hAnsi="Arial" w:cs="Arial"/>
                <w:sz w:val="22"/>
                <w:szCs w:val="22"/>
              </w:rPr>
              <w:t>lost revenue? Have acceptable levels of risk been agreed?</w:t>
            </w:r>
          </w:p>
          <w:p w14:paraId="6D7FE1EE" w14:textId="77777777" w:rsidR="00E40AE3" w:rsidRPr="00C42658" w:rsidRDefault="00C42658" w:rsidP="006A5AF4">
            <w:pPr>
              <w:numPr>
                <w:ilvl w:val="0"/>
                <w:numId w:val="9"/>
              </w:numPr>
              <w:tabs>
                <w:tab w:val="num" w:pos="1440"/>
              </w:tabs>
              <w:spacing w:after="160" w:line="278" w:lineRule="auto"/>
              <w:contextualSpacing/>
              <w:rPr>
                <w:rFonts w:ascii="Arial" w:hAnsi="Arial" w:cs="Arial"/>
                <w:sz w:val="22"/>
                <w:szCs w:val="22"/>
              </w:rPr>
            </w:pPr>
            <w:r w:rsidRPr="00C42658">
              <w:rPr>
                <w:rFonts w:ascii="Arial" w:hAnsi="Arial" w:cs="Arial"/>
                <w:sz w:val="22"/>
                <w:szCs w:val="22"/>
              </w:rPr>
              <w:t xml:space="preserve">Are the local consequences of inaction understood and quantified, including: </w:t>
            </w:r>
          </w:p>
          <w:p w14:paraId="5E0B6963" w14:textId="77777777" w:rsidR="006A5AF4" w:rsidRPr="00C42658" w:rsidRDefault="006A5AF4" w:rsidP="006A5AF4">
            <w:pPr>
              <w:numPr>
                <w:ilvl w:val="1"/>
                <w:numId w:val="9"/>
              </w:numPr>
              <w:spacing w:after="160" w:line="278" w:lineRule="auto"/>
              <w:contextualSpacing/>
              <w:rPr>
                <w:rFonts w:ascii="Arial" w:hAnsi="Arial" w:cs="Arial"/>
                <w:sz w:val="22"/>
                <w:szCs w:val="22"/>
              </w:rPr>
            </w:pPr>
            <w:r w:rsidRPr="00C42658">
              <w:rPr>
                <w:rFonts w:ascii="Arial" w:hAnsi="Arial" w:cs="Arial"/>
                <w:sz w:val="22"/>
                <w:szCs w:val="22"/>
              </w:rPr>
              <w:t>Potential damage repair or replacement and clean-up costs, additional maintenance, etc.</w:t>
            </w:r>
          </w:p>
          <w:p w14:paraId="76D6D39A" w14:textId="77777777" w:rsidR="006A5AF4" w:rsidRPr="00C42658" w:rsidRDefault="006A5AF4" w:rsidP="006A5AF4">
            <w:pPr>
              <w:numPr>
                <w:ilvl w:val="1"/>
                <w:numId w:val="9"/>
              </w:numPr>
              <w:spacing w:after="160" w:line="278" w:lineRule="auto"/>
              <w:contextualSpacing/>
              <w:rPr>
                <w:rFonts w:ascii="Arial" w:hAnsi="Arial" w:cs="Arial"/>
                <w:sz w:val="22"/>
                <w:szCs w:val="22"/>
              </w:rPr>
            </w:pPr>
            <w:r w:rsidRPr="00C42658">
              <w:rPr>
                <w:rFonts w:ascii="Arial" w:hAnsi="Arial" w:cs="Arial"/>
                <w:sz w:val="22"/>
                <w:szCs w:val="22"/>
              </w:rPr>
              <w:t>Potential delays, disruption or downtime</w:t>
            </w:r>
          </w:p>
          <w:p w14:paraId="2A80B694" w14:textId="77777777" w:rsidR="006A5AF4" w:rsidRPr="00C42658" w:rsidRDefault="006A5AF4" w:rsidP="006A5AF4">
            <w:pPr>
              <w:numPr>
                <w:ilvl w:val="1"/>
                <w:numId w:val="9"/>
              </w:numPr>
              <w:spacing w:after="160" w:line="278" w:lineRule="auto"/>
              <w:contextualSpacing/>
              <w:rPr>
                <w:rFonts w:ascii="Arial" w:hAnsi="Arial" w:cs="Arial"/>
                <w:sz w:val="22"/>
                <w:szCs w:val="22"/>
              </w:rPr>
            </w:pPr>
            <w:r w:rsidRPr="00C42658">
              <w:rPr>
                <w:rFonts w:ascii="Arial" w:hAnsi="Arial" w:cs="Arial"/>
                <w:sz w:val="22"/>
                <w:szCs w:val="22"/>
              </w:rPr>
              <w:t>Other direct/indirect safety, societal or environmental impacts</w:t>
            </w:r>
          </w:p>
          <w:p w14:paraId="26E91A84" w14:textId="77777777" w:rsidR="00E40AE3" w:rsidRPr="00C42658" w:rsidRDefault="00C42658" w:rsidP="006A5AF4">
            <w:pPr>
              <w:numPr>
                <w:ilvl w:val="0"/>
                <w:numId w:val="9"/>
              </w:numPr>
              <w:tabs>
                <w:tab w:val="num" w:pos="1440"/>
              </w:tabs>
              <w:spacing w:after="160" w:line="278" w:lineRule="auto"/>
              <w:contextualSpacing/>
              <w:rPr>
                <w:rFonts w:ascii="Arial" w:hAnsi="Arial" w:cs="Arial"/>
                <w:sz w:val="22"/>
                <w:szCs w:val="22"/>
              </w:rPr>
            </w:pPr>
            <w:r w:rsidRPr="00C42658">
              <w:rPr>
                <w:rFonts w:ascii="Arial" w:hAnsi="Arial" w:cs="Arial"/>
                <w:sz w:val="22"/>
                <w:szCs w:val="22"/>
              </w:rPr>
              <w:t xml:space="preserve">Are system-level consequences properly understood and quantified, </w:t>
            </w:r>
            <w:r w:rsidR="006A5AF4" w:rsidRPr="00C42658">
              <w:rPr>
                <w:rFonts w:ascii="Arial" w:hAnsi="Arial" w:cs="Arial"/>
                <w:sz w:val="22"/>
                <w:szCs w:val="22"/>
              </w:rPr>
              <w:t>including</w:t>
            </w:r>
            <w:r w:rsidRPr="00C42658">
              <w:rPr>
                <w:rFonts w:ascii="Arial" w:hAnsi="Arial" w:cs="Arial"/>
                <w:sz w:val="22"/>
                <w:szCs w:val="22"/>
              </w:rPr>
              <w:t>:</w:t>
            </w:r>
          </w:p>
          <w:p w14:paraId="57AB101F" w14:textId="77777777" w:rsidR="006A5AF4" w:rsidRPr="00C42658" w:rsidRDefault="006A5AF4" w:rsidP="006A5AF4">
            <w:pPr>
              <w:numPr>
                <w:ilvl w:val="1"/>
                <w:numId w:val="9"/>
              </w:numPr>
              <w:spacing w:after="160" w:line="278" w:lineRule="auto"/>
              <w:contextualSpacing/>
              <w:rPr>
                <w:rFonts w:ascii="Arial" w:hAnsi="Arial" w:cs="Arial"/>
                <w:sz w:val="22"/>
                <w:szCs w:val="22"/>
              </w:rPr>
            </w:pPr>
            <w:r w:rsidRPr="00C42658">
              <w:rPr>
                <w:rFonts w:ascii="Arial" w:hAnsi="Arial" w:cs="Arial"/>
                <w:sz w:val="22"/>
                <w:szCs w:val="22"/>
              </w:rPr>
              <w:t>Interdependencies: potential cascading failures in interlinked systems</w:t>
            </w:r>
          </w:p>
          <w:p w14:paraId="58964AC1" w14:textId="77777777" w:rsidR="006A5AF4" w:rsidRPr="00C42658" w:rsidRDefault="006A5AF4" w:rsidP="006A5AF4">
            <w:pPr>
              <w:numPr>
                <w:ilvl w:val="1"/>
                <w:numId w:val="9"/>
              </w:numPr>
              <w:spacing w:after="160" w:line="278" w:lineRule="auto"/>
              <w:contextualSpacing/>
              <w:rPr>
                <w:rFonts w:ascii="Arial" w:hAnsi="Arial" w:cs="Arial"/>
                <w:sz w:val="22"/>
                <w:szCs w:val="22"/>
              </w:rPr>
            </w:pPr>
            <w:r w:rsidRPr="00C42658">
              <w:rPr>
                <w:rFonts w:ascii="Arial" w:hAnsi="Arial" w:cs="Arial"/>
                <w:sz w:val="22"/>
                <w:szCs w:val="22"/>
              </w:rPr>
              <w:t>Social/economic implications for local communities</w:t>
            </w:r>
          </w:p>
          <w:p w14:paraId="18BEB19F" w14:textId="77777777" w:rsidR="006A5AF4" w:rsidRPr="00C42658" w:rsidRDefault="006A5AF4" w:rsidP="006A5AF4">
            <w:pPr>
              <w:numPr>
                <w:ilvl w:val="1"/>
                <w:numId w:val="9"/>
              </w:numPr>
              <w:spacing w:after="160" w:line="278" w:lineRule="auto"/>
              <w:contextualSpacing/>
              <w:rPr>
                <w:rFonts w:ascii="Arial" w:hAnsi="Arial" w:cs="Arial"/>
                <w:sz w:val="22"/>
                <w:szCs w:val="22"/>
              </w:rPr>
            </w:pPr>
            <w:r w:rsidRPr="00C42658">
              <w:rPr>
                <w:rFonts w:ascii="Arial" w:hAnsi="Arial" w:cs="Arial"/>
                <w:sz w:val="22"/>
                <w:szCs w:val="22"/>
              </w:rPr>
              <w:t xml:space="preserve">Wider supply chain issues </w:t>
            </w:r>
          </w:p>
          <w:p w14:paraId="2A0CEB59" w14:textId="23562FCE" w:rsidR="006A5AF4" w:rsidRPr="00C42658" w:rsidRDefault="006A5AF4" w:rsidP="002B1C2C">
            <w:pPr>
              <w:spacing w:after="160" w:line="278" w:lineRule="auto"/>
              <w:rPr>
                <w:rFonts w:ascii="Arial" w:hAnsi="Arial" w:cs="Arial"/>
                <w:sz w:val="22"/>
                <w:szCs w:val="22"/>
              </w:rPr>
            </w:pPr>
            <w:r w:rsidRPr="00C42658">
              <w:rPr>
                <w:rFonts w:ascii="Arial" w:hAnsi="Arial" w:cs="Arial"/>
                <w:sz w:val="22"/>
                <w:szCs w:val="22"/>
              </w:rPr>
              <w:t>The presentation will elaborate on these questions and discuss the key lessons learned</w:t>
            </w:r>
            <w:r w:rsidR="009C3B12" w:rsidRPr="00C42658">
              <w:rPr>
                <w:rFonts w:ascii="Arial" w:hAnsi="Arial" w:cs="Arial"/>
                <w:sz w:val="22"/>
                <w:szCs w:val="22"/>
              </w:rPr>
              <w:t xml:space="preserve"> to date</w:t>
            </w:r>
            <w:r w:rsidRPr="00C42658">
              <w:rPr>
                <w:rFonts w:ascii="Arial" w:hAnsi="Arial" w:cs="Arial"/>
                <w:sz w:val="22"/>
                <w:szCs w:val="22"/>
              </w:rPr>
              <w:t xml:space="preserve">, including the relevance of these principles to other transport modes.  </w:t>
            </w:r>
          </w:p>
          <w:p w14:paraId="1A4F2F8C" w14:textId="77777777" w:rsidR="006A5AF4" w:rsidRPr="00C42658" w:rsidRDefault="006A5AF4" w:rsidP="002B1C2C">
            <w:pPr>
              <w:jc w:val="both"/>
              <w:rPr>
                <w:rFonts w:ascii="Arial" w:hAnsi="Arial" w:cs="Arial"/>
                <w:b/>
                <w:sz w:val="22"/>
                <w:szCs w:val="22"/>
              </w:rPr>
            </w:pPr>
          </w:p>
          <w:p w14:paraId="6ADFCAB3" w14:textId="77777777" w:rsidR="006A5AF4" w:rsidRPr="00C42658" w:rsidRDefault="006A5AF4" w:rsidP="002B1C2C">
            <w:pPr>
              <w:jc w:val="both"/>
              <w:rPr>
                <w:rFonts w:ascii="Arial" w:hAnsi="Arial" w:cs="Arial"/>
                <w:b/>
                <w:sz w:val="22"/>
                <w:szCs w:val="22"/>
              </w:rPr>
            </w:pPr>
          </w:p>
        </w:tc>
      </w:tr>
    </w:tbl>
    <w:p w14:paraId="36CB8BCE" w14:textId="77777777" w:rsidR="006A5AF4" w:rsidRPr="00C42658" w:rsidRDefault="006A5AF4" w:rsidP="006A5AF4">
      <w:pPr>
        <w:tabs>
          <w:tab w:val="left" w:pos="8931"/>
        </w:tabs>
        <w:rPr>
          <w:rFonts w:ascii="Arial" w:hAnsi="Arial" w:cs="Arial"/>
          <w:sz w:val="22"/>
          <w:szCs w:val="22"/>
        </w:rPr>
      </w:pPr>
    </w:p>
    <w:p w14:paraId="1E8EBA2C" w14:textId="0DD32577" w:rsidR="00F07F0C" w:rsidRPr="00C42658" w:rsidRDefault="00F07F0C" w:rsidP="00467DD3">
      <w:pPr>
        <w:rPr>
          <w:rFonts w:ascii="Arial" w:hAnsi="Arial" w:cs="Arial"/>
          <w:sz w:val="22"/>
          <w:szCs w:val="22"/>
        </w:rPr>
      </w:pPr>
    </w:p>
    <w:sectPr w:rsidR="00F07F0C" w:rsidRPr="00C42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F01"/>
    <w:multiLevelType w:val="hybridMultilevel"/>
    <w:tmpl w:val="9DC64D92"/>
    <w:lvl w:ilvl="0" w:tplc="3CA85FA8">
      <w:start w:val="1"/>
      <w:numFmt w:val="bullet"/>
      <w:lvlText w:val=""/>
      <w:lvlJc w:val="left"/>
      <w:pPr>
        <w:tabs>
          <w:tab w:val="num" w:pos="720"/>
        </w:tabs>
        <w:ind w:left="720" w:hanging="360"/>
      </w:pPr>
      <w:rPr>
        <w:rFonts w:ascii="Symbol" w:hAnsi="Symbol" w:hint="default"/>
      </w:rPr>
    </w:lvl>
    <w:lvl w:ilvl="1" w:tplc="06BCB4A4">
      <w:numFmt w:val="bullet"/>
      <w:lvlText w:val=""/>
      <w:lvlJc w:val="left"/>
      <w:pPr>
        <w:tabs>
          <w:tab w:val="num" w:pos="1440"/>
        </w:tabs>
        <w:ind w:left="1440" w:hanging="360"/>
      </w:pPr>
      <w:rPr>
        <w:rFonts w:ascii="Symbol" w:hAnsi="Symbol" w:hint="default"/>
      </w:rPr>
    </w:lvl>
    <w:lvl w:ilvl="2" w:tplc="A7F62F38" w:tentative="1">
      <w:start w:val="1"/>
      <w:numFmt w:val="bullet"/>
      <w:lvlText w:val=""/>
      <w:lvlJc w:val="left"/>
      <w:pPr>
        <w:tabs>
          <w:tab w:val="num" w:pos="2160"/>
        </w:tabs>
        <w:ind w:left="2160" w:hanging="360"/>
      </w:pPr>
      <w:rPr>
        <w:rFonts w:ascii="Symbol" w:hAnsi="Symbol" w:hint="default"/>
      </w:rPr>
    </w:lvl>
    <w:lvl w:ilvl="3" w:tplc="F43A0E0E" w:tentative="1">
      <w:start w:val="1"/>
      <w:numFmt w:val="bullet"/>
      <w:lvlText w:val=""/>
      <w:lvlJc w:val="left"/>
      <w:pPr>
        <w:tabs>
          <w:tab w:val="num" w:pos="2880"/>
        </w:tabs>
        <w:ind w:left="2880" w:hanging="360"/>
      </w:pPr>
      <w:rPr>
        <w:rFonts w:ascii="Symbol" w:hAnsi="Symbol" w:hint="default"/>
      </w:rPr>
    </w:lvl>
    <w:lvl w:ilvl="4" w:tplc="B3E4C74A" w:tentative="1">
      <w:start w:val="1"/>
      <w:numFmt w:val="bullet"/>
      <w:lvlText w:val=""/>
      <w:lvlJc w:val="left"/>
      <w:pPr>
        <w:tabs>
          <w:tab w:val="num" w:pos="3600"/>
        </w:tabs>
        <w:ind w:left="3600" w:hanging="360"/>
      </w:pPr>
      <w:rPr>
        <w:rFonts w:ascii="Symbol" w:hAnsi="Symbol" w:hint="default"/>
      </w:rPr>
    </w:lvl>
    <w:lvl w:ilvl="5" w:tplc="FB02FF6A" w:tentative="1">
      <w:start w:val="1"/>
      <w:numFmt w:val="bullet"/>
      <w:lvlText w:val=""/>
      <w:lvlJc w:val="left"/>
      <w:pPr>
        <w:tabs>
          <w:tab w:val="num" w:pos="4320"/>
        </w:tabs>
        <w:ind w:left="4320" w:hanging="360"/>
      </w:pPr>
      <w:rPr>
        <w:rFonts w:ascii="Symbol" w:hAnsi="Symbol" w:hint="default"/>
      </w:rPr>
    </w:lvl>
    <w:lvl w:ilvl="6" w:tplc="120E0DA4" w:tentative="1">
      <w:start w:val="1"/>
      <w:numFmt w:val="bullet"/>
      <w:lvlText w:val=""/>
      <w:lvlJc w:val="left"/>
      <w:pPr>
        <w:tabs>
          <w:tab w:val="num" w:pos="5040"/>
        </w:tabs>
        <w:ind w:left="5040" w:hanging="360"/>
      </w:pPr>
      <w:rPr>
        <w:rFonts w:ascii="Symbol" w:hAnsi="Symbol" w:hint="default"/>
      </w:rPr>
    </w:lvl>
    <w:lvl w:ilvl="7" w:tplc="994EDCF6" w:tentative="1">
      <w:start w:val="1"/>
      <w:numFmt w:val="bullet"/>
      <w:lvlText w:val=""/>
      <w:lvlJc w:val="left"/>
      <w:pPr>
        <w:tabs>
          <w:tab w:val="num" w:pos="5760"/>
        </w:tabs>
        <w:ind w:left="5760" w:hanging="360"/>
      </w:pPr>
      <w:rPr>
        <w:rFonts w:ascii="Symbol" w:hAnsi="Symbol" w:hint="default"/>
      </w:rPr>
    </w:lvl>
    <w:lvl w:ilvl="8" w:tplc="50E82B7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2089B"/>
    <w:multiLevelType w:val="hybridMultilevel"/>
    <w:tmpl w:val="AFC22A1A"/>
    <w:lvl w:ilvl="0" w:tplc="B516B8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6CE1"/>
    <w:multiLevelType w:val="hybridMultilevel"/>
    <w:tmpl w:val="99724262"/>
    <w:lvl w:ilvl="0" w:tplc="06820196">
      <w:start w:val="1"/>
      <w:numFmt w:val="bullet"/>
      <w:lvlText w:val=""/>
      <w:lvlJc w:val="left"/>
      <w:pPr>
        <w:tabs>
          <w:tab w:val="num" w:pos="720"/>
        </w:tabs>
        <w:ind w:left="720" w:hanging="360"/>
      </w:pPr>
      <w:rPr>
        <w:rFonts w:ascii="Symbol" w:hAnsi="Symbol" w:hint="default"/>
      </w:rPr>
    </w:lvl>
    <w:lvl w:ilvl="1" w:tplc="432C6B84" w:tentative="1">
      <w:start w:val="1"/>
      <w:numFmt w:val="bullet"/>
      <w:lvlText w:val=""/>
      <w:lvlJc w:val="left"/>
      <w:pPr>
        <w:tabs>
          <w:tab w:val="num" w:pos="1440"/>
        </w:tabs>
        <w:ind w:left="1440" w:hanging="360"/>
      </w:pPr>
      <w:rPr>
        <w:rFonts w:ascii="Symbol" w:hAnsi="Symbol" w:hint="default"/>
      </w:rPr>
    </w:lvl>
    <w:lvl w:ilvl="2" w:tplc="1F9AAD24" w:tentative="1">
      <w:start w:val="1"/>
      <w:numFmt w:val="bullet"/>
      <w:lvlText w:val=""/>
      <w:lvlJc w:val="left"/>
      <w:pPr>
        <w:tabs>
          <w:tab w:val="num" w:pos="2160"/>
        </w:tabs>
        <w:ind w:left="2160" w:hanging="360"/>
      </w:pPr>
      <w:rPr>
        <w:rFonts w:ascii="Symbol" w:hAnsi="Symbol" w:hint="default"/>
      </w:rPr>
    </w:lvl>
    <w:lvl w:ilvl="3" w:tplc="B18E2828" w:tentative="1">
      <w:start w:val="1"/>
      <w:numFmt w:val="bullet"/>
      <w:lvlText w:val=""/>
      <w:lvlJc w:val="left"/>
      <w:pPr>
        <w:tabs>
          <w:tab w:val="num" w:pos="2880"/>
        </w:tabs>
        <w:ind w:left="2880" w:hanging="360"/>
      </w:pPr>
      <w:rPr>
        <w:rFonts w:ascii="Symbol" w:hAnsi="Symbol" w:hint="default"/>
      </w:rPr>
    </w:lvl>
    <w:lvl w:ilvl="4" w:tplc="E9F64B02" w:tentative="1">
      <w:start w:val="1"/>
      <w:numFmt w:val="bullet"/>
      <w:lvlText w:val=""/>
      <w:lvlJc w:val="left"/>
      <w:pPr>
        <w:tabs>
          <w:tab w:val="num" w:pos="3600"/>
        </w:tabs>
        <w:ind w:left="3600" w:hanging="360"/>
      </w:pPr>
      <w:rPr>
        <w:rFonts w:ascii="Symbol" w:hAnsi="Symbol" w:hint="default"/>
      </w:rPr>
    </w:lvl>
    <w:lvl w:ilvl="5" w:tplc="DC067404" w:tentative="1">
      <w:start w:val="1"/>
      <w:numFmt w:val="bullet"/>
      <w:lvlText w:val=""/>
      <w:lvlJc w:val="left"/>
      <w:pPr>
        <w:tabs>
          <w:tab w:val="num" w:pos="4320"/>
        </w:tabs>
        <w:ind w:left="4320" w:hanging="360"/>
      </w:pPr>
      <w:rPr>
        <w:rFonts w:ascii="Symbol" w:hAnsi="Symbol" w:hint="default"/>
      </w:rPr>
    </w:lvl>
    <w:lvl w:ilvl="6" w:tplc="3AAA1B1A" w:tentative="1">
      <w:start w:val="1"/>
      <w:numFmt w:val="bullet"/>
      <w:lvlText w:val=""/>
      <w:lvlJc w:val="left"/>
      <w:pPr>
        <w:tabs>
          <w:tab w:val="num" w:pos="5040"/>
        </w:tabs>
        <w:ind w:left="5040" w:hanging="360"/>
      </w:pPr>
      <w:rPr>
        <w:rFonts w:ascii="Symbol" w:hAnsi="Symbol" w:hint="default"/>
      </w:rPr>
    </w:lvl>
    <w:lvl w:ilvl="7" w:tplc="3E9EA708" w:tentative="1">
      <w:start w:val="1"/>
      <w:numFmt w:val="bullet"/>
      <w:lvlText w:val=""/>
      <w:lvlJc w:val="left"/>
      <w:pPr>
        <w:tabs>
          <w:tab w:val="num" w:pos="5760"/>
        </w:tabs>
        <w:ind w:left="5760" w:hanging="360"/>
      </w:pPr>
      <w:rPr>
        <w:rFonts w:ascii="Symbol" w:hAnsi="Symbol" w:hint="default"/>
      </w:rPr>
    </w:lvl>
    <w:lvl w:ilvl="8" w:tplc="6406A9B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C12D14"/>
    <w:multiLevelType w:val="hybridMultilevel"/>
    <w:tmpl w:val="22D231B8"/>
    <w:lvl w:ilvl="0" w:tplc="0E645A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47EF9"/>
    <w:multiLevelType w:val="hybridMultilevel"/>
    <w:tmpl w:val="E29AF1C6"/>
    <w:lvl w:ilvl="0" w:tplc="C11E43F6">
      <w:start w:val="1"/>
      <w:numFmt w:val="bullet"/>
      <w:lvlText w:val=""/>
      <w:lvlJc w:val="left"/>
      <w:pPr>
        <w:tabs>
          <w:tab w:val="num" w:pos="720"/>
        </w:tabs>
        <w:ind w:left="720" w:hanging="360"/>
      </w:pPr>
      <w:rPr>
        <w:rFonts w:ascii="Symbol" w:hAnsi="Symbol" w:hint="default"/>
      </w:rPr>
    </w:lvl>
    <w:lvl w:ilvl="1" w:tplc="921CA266" w:tentative="1">
      <w:start w:val="1"/>
      <w:numFmt w:val="bullet"/>
      <w:lvlText w:val=""/>
      <w:lvlJc w:val="left"/>
      <w:pPr>
        <w:tabs>
          <w:tab w:val="num" w:pos="1440"/>
        </w:tabs>
        <w:ind w:left="1440" w:hanging="360"/>
      </w:pPr>
      <w:rPr>
        <w:rFonts w:ascii="Symbol" w:hAnsi="Symbol" w:hint="default"/>
      </w:rPr>
    </w:lvl>
    <w:lvl w:ilvl="2" w:tplc="C8C4C152" w:tentative="1">
      <w:start w:val="1"/>
      <w:numFmt w:val="bullet"/>
      <w:lvlText w:val=""/>
      <w:lvlJc w:val="left"/>
      <w:pPr>
        <w:tabs>
          <w:tab w:val="num" w:pos="2160"/>
        </w:tabs>
        <w:ind w:left="2160" w:hanging="360"/>
      </w:pPr>
      <w:rPr>
        <w:rFonts w:ascii="Symbol" w:hAnsi="Symbol" w:hint="default"/>
      </w:rPr>
    </w:lvl>
    <w:lvl w:ilvl="3" w:tplc="0C0C977E" w:tentative="1">
      <w:start w:val="1"/>
      <w:numFmt w:val="bullet"/>
      <w:lvlText w:val=""/>
      <w:lvlJc w:val="left"/>
      <w:pPr>
        <w:tabs>
          <w:tab w:val="num" w:pos="2880"/>
        </w:tabs>
        <w:ind w:left="2880" w:hanging="360"/>
      </w:pPr>
      <w:rPr>
        <w:rFonts w:ascii="Symbol" w:hAnsi="Symbol" w:hint="default"/>
      </w:rPr>
    </w:lvl>
    <w:lvl w:ilvl="4" w:tplc="3F18CF28" w:tentative="1">
      <w:start w:val="1"/>
      <w:numFmt w:val="bullet"/>
      <w:lvlText w:val=""/>
      <w:lvlJc w:val="left"/>
      <w:pPr>
        <w:tabs>
          <w:tab w:val="num" w:pos="3600"/>
        </w:tabs>
        <w:ind w:left="3600" w:hanging="360"/>
      </w:pPr>
      <w:rPr>
        <w:rFonts w:ascii="Symbol" w:hAnsi="Symbol" w:hint="default"/>
      </w:rPr>
    </w:lvl>
    <w:lvl w:ilvl="5" w:tplc="B5B2DCDC" w:tentative="1">
      <w:start w:val="1"/>
      <w:numFmt w:val="bullet"/>
      <w:lvlText w:val=""/>
      <w:lvlJc w:val="left"/>
      <w:pPr>
        <w:tabs>
          <w:tab w:val="num" w:pos="4320"/>
        </w:tabs>
        <w:ind w:left="4320" w:hanging="360"/>
      </w:pPr>
      <w:rPr>
        <w:rFonts w:ascii="Symbol" w:hAnsi="Symbol" w:hint="default"/>
      </w:rPr>
    </w:lvl>
    <w:lvl w:ilvl="6" w:tplc="A4BE7668" w:tentative="1">
      <w:start w:val="1"/>
      <w:numFmt w:val="bullet"/>
      <w:lvlText w:val=""/>
      <w:lvlJc w:val="left"/>
      <w:pPr>
        <w:tabs>
          <w:tab w:val="num" w:pos="5040"/>
        </w:tabs>
        <w:ind w:left="5040" w:hanging="360"/>
      </w:pPr>
      <w:rPr>
        <w:rFonts w:ascii="Symbol" w:hAnsi="Symbol" w:hint="default"/>
      </w:rPr>
    </w:lvl>
    <w:lvl w:ilvl="7" w:tplc="FB4C567C" w:tentative="1">
      <w:start w:val="1"/>
      <w:numFmt w:val="bullet"/>
      <w:lvlText w:val=""/>
      <w:lvlJc w:val="left"/>
      <w:pPr>
        <w:tabs>
          <w:tab w:val="num" w:pos="5760"/>
        </w:tabs>
        <w:ind w:left="5760" w:hanging="360"/>
      </w:pPr>
      <w:rPr>
        <w:rFonts w:ascii="Symbol" w:hAnsi="Symbol" w:hint="default"/>
      </w:rPr>
    </w:lvl>
    <w:lvl w:ilvl="8" w:tplc="5222454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2CC3172"/>
    <w:multiLevelType w:val="hybridMultilevel"/>
    <w:tmpl w:val="FFFFFFFF"/>
    <w:lvl w:ilvl="0" w:tplc="14090003">
      <w:start w:val="1"/>
      <w:numFmt w:val="bullet"/>
      <w:lvlText w:val="o"/>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C572371"/>
    <w:multiLevelType w:val="hybridMultilevel"/>
    <w:tmpl w:val="D0CE0904"/>
    <w:lvl w:ilvl="0" w:tplc="0E645A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062B3"/>
    <w:multiLevelType w:val="hybridMultilevel"/>
    <w:tmpl w:val="6AD2944E"/>
    <w:lvl w:ilvl="0" w:tplc="B516B87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513FA"/>
    <w:multiLevelType w:val="hybridMultilevel"/>
    <w:tmpl w:val="3B96684C"/>
    <w:lvl w:ilvl="0" w:tplc="0E645A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302135">
    <w:abstractNumId w:val="8"/>
  </w:num>
  <w:num w:numId="2" w16cid:durableId="226378574">
    <w:abstractNumId w:val="0"/>
  </w:num>
  <w:num w:numId="3" w16cid:durableId="551844198">
    <w:abstractNumId w:val="3"/>
  </w:num>
  <w:num w:numId="4" w16cid:durableId="618225508">
    <w:abstractNumId w:val="6"/>
  </w:num>
  <w:num w:numId="5" w16cid:durableId="267737125">
    <w:abstractNumId w:val="5"/>
  </w:num>
  <w:num w:numId="6" w16cid:durableId="677081394">
    <w:abstractNumId w:val="1"/>
  </w:num>
  <w:num w:numId="7" w16cid:durableId="820923059">
    <w:abstractNumId w:val="2"/>
  </w:num>
  <w:num w:numId="8" w16cid:durableId="213086746">
    <w:abstractNumId w:val="4"/>
  </w:num>
  <w:num w:numId="9" w16cid:durableId="1985229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0C"/>
    <w:rsid w:val="001368FE"/>
    <w:rsid w:val="001818A3"/>
    <w:rsid w:val="002D70AA"/>
    <w:rsid w:val="002E6E01"/>
    <w:rsid w:val="00361ACB"/>
    <w:rsid w:val="00467DD3"/>
    <w:rsid w:val="004C4226"/>
    <w:rsid w:val="006A5AF4"/>
    <w:rsid w:val="007903D3"/>
    <w:rsid w:val="007B4DD6"/>
    <w:rsid w:val="008E6BD9"/>
    <w:rsid w:val="00950FFA"/>
    <w:rsid w:val="0095560E"/>
    <w:rsid w:val="009C3B12"/>
    <w:rsid w:val="00A257F4"/>
    <w:rsid w:val="00A54D90"/>
    <w:rsid w:val="00B863D8"/>
    <w:rsid w:val="00C42658"/>
    <w:rsid w:val="00C42CF5"/>
    <w:rsid w:val="00C91016"/>
    <w:rsid w:val="00DA4C07"/>
    <w:rsid w:val="00DA7279"/>
    <w:rsid w:val="00DD553D"/>
    <w:rsid w:val="00E40AE3"/>
    <w:rsid w:val="00EB0163"/>
    <w:rsid w:val="00EC6A5B"/>
    <w:rsid w:val="00F040D4"/>
    <w:rsid w:val="00F07F0C"/>
    <w:rsid w:val="00F979AE"/>
    <w:rsid w:val="00FB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7EDF"/>
  <w15:chartTrackingRefBased/>
  <w15:docId w15:val="{CF72E92E-0F02-42E3-A231-DFF07014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F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F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F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7F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F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F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F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F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F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F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F0C"/>
    <w:rPr>
      <w:rFonts w:eastAsiaTheme="majorEastAsia" w:cstheme="majorBidi"/>
      <w:color w:val="272727" w:themeColor="text1" w:themeTint="D8"/>
    </w:rPr>
  </w:style>
  <w:style w:type="paragraph" w:styleId="Title">
    <w:name w:val="Title"/>
    <w:basedOn w:val="Normal"/>
    <w:next w:val="Normal"/>
    <w:link w:val="TitleChar"/>
    <w:uiPriority w:val="10"/>
    <w:qFormat/>
    <w:rsid w:val="00F07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F0C"/>
    <w:pPr>
      <w:spacing w:before="160"/>
      <w:jc w:val="center"/>
    </w:pPr>
    <w:rPr>
      <w:i/>
      <w:iCs/>
      <w:color w:val="404040" w:themeColor="text1" w:themeTint="BF"/>
    </w:rPr>
  </w:style>
  <w:style w:type="character" w:customStyle="1" w:styleId="QuoteChar">
    <w:name w:val="Quote Char"/>
    <w:basedOn w:val="DefaultParagraphFont"/>
    <w:link w:val="Quote"/>
    <w:uiPriority w:val="29"/>
    <w:rsid w:val="00F07F0C"/>
    <w:rPr>
      <w:i/>
      <w:iCs/>
      <w:color w:val="404040" w:themeColor="text1" w:themeTint="BF"/>
    </w:rPr>
  </w:style>
  <w:style w:type="paragraph" w:styleId="ListParagraph">
    <w:name w:val="List Paragraph"/>
    <w:basedOn w:val="Normal"/>
    <w:uiPriority w:val="34"/>
    <w:qFormat/>
    <w:rsid w:val="00F07F0C"/>
    <w:pPr>
      <w:ind w:left="720"/>
      <w:contextualSpacing/>
    </w:pPr>
  </w:style>
  <w:style w:type="character" w:styleId="IntenseEmphasis">
    <w:name w:val="Intense Emphasis"/>
    <w:basedOn w:val="DefaultParagraphFont"/>
    <w:uiPriority w:val="21"/>
    <w:qFormat/>
    <w:rsid w:val="00F07F0C"/>
    <w:rPr>
      <w:i/>
      <w:iCs/>
      <w:color w:val="2F5496" w:themeColor="accent1" w:themeShade="BF"/>
    </w:rPr>
  </w:style>
  <w:style w:type="paragraph" w:styleId="IntenseQuote">
    <w:name w:val="Intense Quote"/>
    <w:basedOn w:val="Normal"/>
    <w:next w:val="Normal"/>
    <w:link w:val="IntenseQuoteChar"/>
    <w:uiPriority w:val="30"/>
    <w:qFormat/>
    <w:rsid w:val="00F07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F0C"/>
    <w:rPr>
      <w:i/>
      <w:iCs/>
      <w:color w:val="2F5496" w:themeColor="accent1" w:themeShade="BF"/>
    </w:rPr>
  </w:style>
  <w:style w:type="character" w:styleId="IntenseReference">
    <w:name w:val="Intense Reference"/>
    <w:basedOn w:val="DefaultParagraphFont"/>
    <w:uiPriority w:val="32"/>
    <w:qFormat/>
    <w:rsid w:val="00F07F0C"/>
    <w:rPr>
      <w:b/>
      <w:bCs/>
      <w:smallCaps/>
      <w:color w:val="2F5496" w:themeColor="accent1" w:themeShade="BF"/>
      <w:spacing w:val="5"/>
    </w:rPr>
  </w:style>
  <w:style w:type="table" w:styleId="TableGrid">
    <w:name w:val="Table Grid"/>
    <w:basedOn w:val="TableNormal"/>
    <w:rsid w:val="00EB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313">
      <w:bodyDiv w:val="1"/>
      <w:marLeft w:val="0"/>
      <w:marRight w:val="0"/>
      <w:marTop w:val="0"/>
      <w:marBottom w:val="0"/>
      <w:divBdr>
        <w:top w:val="none" w:sz="0" w:space="0" w:color="auto"/>
        <w:left w:val="none" w:sz="0" w:space="0" w:color="auto"/>
        <w:bottom w:val="none" w:sz="0" w:space="0" w:color="auto"/>
        <w:right w:val="none" w:sz="0" w:space="0" w:color="auto"/>
      </w:divBdr>
      <w:divsChild>
        <w:div w:id="1875581087">
          <w:marLeft w:val="547"/>
          <w:marRight w:val="0"/>
          <w:marTop w:val="200"/>
          <w:marBottom w:val="160"/>
          <w:divBdr>
            <w:top w:val="none" w:sz="0" w:space="0" w:color="auto"/>
            <w:left w:val="none" w:sz="0" w:space="0" w:color="auto"/>
            <w:bottom w:val="none" w:sz="0" w:space="0" w:color="auto"/>
            <w:right w:val="none" w:sz="0" w:space="0" w:color="auto"/>
          </w:divBdr>
        </w:div>
        <w:div w:id="133301525">
          <w:marLeft w:val="547"/>
          <w:marRight w:val="0"/>
          <w:marTop w:val="200"/>
          <w:marBottom w:val="160"/>
          <w:divBdr>
            <w:top w:val="none" w:sz="0" w:space="0" w:color="auto"/>
            <w:left w:val="none" w:sz="0" w:space="0" w:color="auto"/>
            <w:bottom w:val="none" w:sz="0" w:space="0" w:color="auto"/>
            <w:right w:val="none" w:sz="0" w:space="0" w:color="auto"/>
          </w:divBdr>
        </w:div>
        <w:div w:id="590552089">
          <w:marLeft w:val="547"/>
          <w:marRight w:val="0"/>
          <w:marTop w:val="200"/>
          <w:marBottom w:val="160"/>
          <w:divBdr>
            <w:top w:val="none" w:sz="0" w:space="0" w:color="auto"/>
            <w:left w:val="none" w:sz="0" w:space="0" w:color="auto"/>
            <w:bottom w:val="none" w:sz="0" w:space="0" w:color="auto"/>
            <w:right w:val="none" w:sz="0" w:space="0" w:color="auto"/>
          </w:divBdr>
        </w:div>
      </w:divsChild>
    </w:div>
    <w:div w:id="156463239">
      <w:bodyDiv w:val="1"/>
      <w:marLeft w:val="0"/>
      <w:marRight w:val="0"/>
      <w:marTop w:val="0"/>
      <w:marBottom w:val="0"/>
      <w:divBdr>
        <w:top w:val="none" w:sz="0" w:space="0" w:color="auto"/>
        <w:left w:val="none" w:sz="0" w:space="0" w:color="auto"/>
        <w:bottom w:val="none" w:sz="0" w:space="0" w:color="auto"/>
        <w:right w:val="none" w:sz="0" w:space="0" w:color="auto"/>
      </w:divBdr>
      <w:divsChild>
        <w:div w:id="1446994896">
          <w:marLeft w:val="547"/>
          <w:marRight w:val="0"/>
          <w:marTop w:val="200"/>
          <w:marBottom w:val="0"/>
          <w:divBdr>
            <w:top w:val="none" w:sz="0" w:space="0" w:color="auto"/>
            <w:left w:val="none" w:sz="0" w:space="0" w:color="auto"/>
            <w:bottom w:val="none" w:sz="0" w:space="0" w:color="auto"/>
            <w:right w:val="none" w:sz="0" w:space="0" w:color="auto"/>
          </w:divBdr>
        </w:div>
        <w:div w:id="1204094947">
          <w:marLeft w:val="547"/>
          <w:marRight w:val="0"/>
          <w:marTop w:val="200"/>
          <w:marBottom w:val="0"/>
          <w:divBdr>
            <w:top w:val="none" w:sz="0" w:space="0" w:color="auto"/>
            <w:left w:val="none" w:sz="0" w:space="0" w:color="auto"/>
            <w:bottom w:val="none" w:sz="0" w:space="0" w:color="auto"/>
            <w:right w:val="none" w:sz="0" w:space="0" w:color="auto"/>
          </w:divBdr>
        </w:div>
        <w:div w:id="1690526909">
          <w:marLeft w:val="547"/>
          <w:marRight w:val="0"/>
          <w:marTop w:val="200"/>
          <w:marBottom w:val="0"/>
          <w:divBdr>
            <w:top w:val="none" w:sz="0" w:space="0" w:color="auto"/>
            <w:left w:val="none" w:sz="0" w:space="0" w:color="auto"/>
            <w:bottom w:val="none" w:sz="0" w:space="0" w:color="auto"/>
            <w:right w:val="none" w:sz="0" w:space="0" w:color="auto"/>
          </w:divBdr>
        </w:div>
        <w:div w:id="942229491">
          <w:marLeft w:val="1627"/>
          <w:marRight w:val="0"/>
          <w:marTop w:val="100"/>
          <w:marBottom w:val="0"/>
          <w:divBdr>
            <w:top w:val="none" w:sz="0" w:space="0" w:color="auto"/>
            <w:left w:val="none" w:sz="0" w:space="0" w:color="auto"/>
            <w:bottom w:val="none" w:sz="0" w:space="0" w:color="auto"/>
            <w:right w:val="none" w:sz="0" w:space="0" w:color="auto"/>
          </w:divBdr>
        </w:div>
        <w:div w:id="1511723735">
          <w:marLeft w:val="1627"/>
          <w:marRight w:val="0"/>
          <w:marTop w:val="100"/>
          <w:marBottom w:val="0"/>
          <w:divBdr>
            <w:top w:val="none" w:sz="0" w:space="0" w:color="auto"/>
            <w:left w:val="none" w:sz="0" w:space="0" w:color="auto"/>
            <w:bottom w:val="none" w:sz="0" w:space="0" w:color="auto"/>
            <w:right w:val="none" w:sz="0" w:space="0" w:color="auto"/>
          </w:divBdr>
        </w:div>
        <w:div w:id="970014698">
          <w:marLeft w:val="1627"/>
          <w:marRight w:val="0"/>
          <w:marTop w:val="100"/>
          <w:marBottom w:val="0"/>
          <w:divBdr>
            <w:top w:val="none" w:sz="0" w:space="0" w:color="auto"/>
            <w:left w:val="none" w:sz="0" w:space="0" w:color="auto"/>
            <w:bottom w:val="none" w:sz="0" w:space="0" w:color="auto"/>
            <w:right w:val="none" w:sz="0" w:space="0" w:color="auto"/>
          </w:divBdr>
        </w:div>
      </w:divsChild>
    </w:div>
    <w:div w:id="405685231">
      <w:bodyDiv w:val="1"/>
      <w:marLeft w:val="0"/>
      <w:marRight w:val="0"/>
      <w:marTop w:val="0"/>
      <w:marBottom w:val="0"/>
      <w:divBdr>
        <w:top w:val="none" w:sz="0" w:space="0" w:color="auto"/>
        <w:left w:val="none" w:sz="0" w:space="0" w:color="auto"/>
        <w:bottom w:val="none" w:sz="0" w:space="0" w:color="auto"/>
        <w:right w:val="none" w:sz="0" w:space="0" w:color="auto"/>
      </w:divBdr>
      <w:divsChild>
        <w:div w:id="1299609805">
          <w:marLeft w:val="547"/>
          <w:marRight w:val="0"/>
          <w:marTop w:val="200"/>
          <w:marBottom w:val="0"/>
          <w:divBdr>
            <w:top w:val="none" w:sz="0" w:space="0" w:color="auto"/>
            <w:left w:val="none" w:sz="0" w:space="0" w:color="auto"/>
            <w:bottom w:val="none" w:sz="0" w:space="0" w:color="auto"/>
            <w:right w:val="none" w:sz="0" w:space="0" w:color="auto"/>
          </w:divBdr>
        </w:div>
        <w:div w:id="1710643972">
          <w:marLeft w:val="1627"/>
          <w:marRight w:val="0"/>
          <w:marTop w:val="100"/>
          <w:marBottom w:val="0"/>
          <w:divBdr>
            <w:top w:val="none" w:sz="0" w:space="0" w:color="auto"/>
            <w:left w:val="none" w:sz="0" w:space="0" w:color="auto"/>
            <w:bottom w:val="none" w:sz="0" w:space="0" w:color="auto"/>
            <w:right w:val="none" w:sz="0" w:space="0" w:color="auto"/>
          </w:divBdr>
        </w:div>
        <w:div w:id="775833047">
          <w:marLeft w:val="1627"/>
          <w:marRight w:val="0"/>
          <w:marTop w:val="100"/>
          <w:marBottom w:val="0"/>
          <w:divBdr>
            <w:top w:val="none" w:sz="0" w:space="0" w:color="auto"/>
            <w:left w:val="none" w:sz="0" w:space="0" w:color="auto"/>
            <w:bottom w:val="none" w:sz="0" w:space="0" w:color="auto"/>
            <w:right w:val="none" w:sz="0" w:space="0" w:color="auto"/>
          </w:divBdr>
        </w:div>
        <w:div w:id="534580172">
          <w:marLeft w:val="1627"/>
          <w:marRight w:val="0"/>
          <w:marTop w:val="100"/>
          <w:marBottom w:val="0"/>
          <w:divBdr>
            <w:top w:val="none" w:sz="0" w:space="0" w:color="auto"/>
            <w:left w:val="none" w:sz="0" w:space="0" w:color="auto"/>
            <w:bottom w:val="none" w:sz="0" w:space="0" w:color="auto"/>
            <w:right w:val="none" w:sz="0" w:space="0" w:color="auto"/>
          </w:divBdr>
        </w:div>
        <w:div w:id="1968974031">
          <w:marLeft w:val="547"/>
          <w:marRight w:val="0"/>
          <w:marTop w:val="200"/>
          <w:marBottom w:val="0"/>
          <w:divBdr>
            <w:top w:val="none" w:sz="0" w:space="0" w:color="auto"/>
            <w:left w:val="none" w:sz="0" w:space="0" w:color="auto"/>
            <w:bottom w:val="none" w:sz="0" w:space="0" w:color="auto"/>
            <w:right w:val="none" w:sz="0" w:space="0" w:color="auto"/>
          </w:divBdr>
        </w:div>
        <w:div w:id="1060981045">
          <w:marLeft w:val="547"/>
          <w:marRight w:val="0"/>
          <w:marTop w:val="200"/>
          <w:marBottom w:val="0"/>
          <w:divBdr>
            <w:top w:val="none" w:sz="0" w:space="0" w:color="auto"/>
            <w:left w:val="none" w:sz="0" w:space="0" w:color="auto"/>
            <w:bottom w:val="none" w:sz="0" w:space="0" w:color="auto"/>
            <w:right w:val="none" w:sz="0" w:space="0" w:color="auto"/>
          </w:divBdr>
        </w:div>
      </w:divsChild>
    </w:div>
    <w:div w:id="484467505">
      <w:bodyDiv w:val="1"/>
      <w:marLeft w:val="0"/>
      <w:marRight w:val="0"/>
      <w:marTop w:val="0"/>
      <w:marBottom w:val="0"/>
      <w:divBdr>
        <w:top w:val="none" w:sz="0" w:space="0" w:color="auto"/>
        <w:left w:val="none" w:sz="0" w:space="0" w:color="auto"/>
        <w:bottom w:val="none" w:sz="0" w:space="0" w:color="auto"/>
        <w:right w:val="none" w:sz="0" w:space="0" w:color="auto"/>
      </w:divBdr>
      <w:divsChild>
        <w:div w:id="844630828">
          <w:marLeft w:val="547"/>
          <w:marRight w:val="0"/>
          <w:marTop w:val="200"/>
          <w:marBottom w:val="0"/>
          <w:divBdr>
            <w:top w:val="none" w:sz="0" w:space="0" w:color="auto"/>
            <w:left w:val="none" w:sz="0" w:space="0" w:color="auto"/>
            <w:bottom w:val="none" w:sz="0" w:space="0" w:color="auto"/>
            <w:right w:val="none" w:sz="0" w:space="0" w:color="auto"/>
          </w:divBdr>
        </w:div>
        <w:div w:id="555429409">
          <w:marLeft w:val="547"/>
          <w:marRight w:val="0"/>
          <w:marTop w:val="200"/>
          <w:marBottom w:val="0"/>
          <w:divBdr>
            <w:top w:val="none" w:sz="0" w:space="0" w:color="auto"/>
            <w:left w:val="none" w:sz="0" w:space="0" w:color="auto"/>
            <w:bottom w:val="none" w:sz="0" w:space="0" w:color="auto"/>
            <w:right w:val="none" w:sz="0" w:space="0" w:color="auto"/>
          </w:divBdr>
        </w:div>
        <w:div w:id="1674718122">
          <w:marLeft w:val="547"/>
          <w:marRight w:val="0"/>
          <w:marTop w:val="200"/>
          <w:marBottom w:val="0"/>
          <w:divBdr>
            <w:top w:val="none" w:sz="0" w:space="0" w:color="auto"/>
            <w:left w:val="none" w:sz="0" w:space="0" w:color="auto"/>
            <w:bottom w:val="none" w:sz="0" w:space="0" w:color="auto"/>
            <w:right w:val="none" w:sz="0" w:space="0" w:color="auto"/>
          </w:divBdr>
        </w:div>
        <w:div w:id="2038386953">
          <w:marLeft w:val="1627"/>
          <w:marRight w:val="0"/>
          <w:marTop w:val="100"/>
          <w:marBottom w:val="0"/>
          <w:divBdr>
            <w:top w:val="none" w:sz="0" w:space="0" w:color="auto"/>
            <w:left w:val="none" w:sz="0" w:space="0" w:color="auto"/>
            <w:bottom w:val="none" w:sz="0" w:space="0" w:color="auto"/>
            <w:right w:val="none" w:sz="0" w:space="0" w:color="auto"/>
          </w:divBdr>
        </w:div>
        <w:div w:id="1331907300">
          <w:marLeft w:val="1627"/>
          <w:marRight w:val="0"/>
          <w:marTop w:val="100"/>
          <w:marBottom w:val="0"/>
          <w:divBdr>
            <w:top w:val="none" w:sz="0" w:space="0" w:color="auto"/>
            <w:left w:val="none" w:sz="0" w:space="0" w:color="auto"/>
            <w:bottom w:val="none" w:sz="0" w:space="0" w:color="auto"/>
            <w:right w:val="none" w:sz="0" w:space="0" w:color="auto"/>
          </w:divBdr>
        </w:div>
        <w:div w:id="1184054657">
          <w:marLeft w:val="1627"/>
          <w:marRight w:val="0"/>
          <w:marTop w:val="100"/>
          <w:marBottom w:val="0"/>
          <w:divBdr>
            <w:top w:val="none" w:sz="0" w:space="0" w:color="auto"/>
            <w:left w:val="none" w:sz="0" w:space="0" w:color="auto"/>
            <w:bottom w:val="none" w:sz="0" w:space="0" w:color="auto"/>
            <w:right w:val="none" w:sz="0" w:space="0" w:color="auto"/>
          </w:divBdr>
        </w:div>
      </w:divsChild>
    </w:div>
    <w:div w:id="593788324">
      <w:bodyDiv w:val="1"/>
      <w:marLeft w:val="0"/>
      <w:marRight w:val="0"/>
      <w:marTop w:val="0"/>
      <w:marBottom w:val="0"/>
      <w:divBdr>
        <w:top w:val="none" w:sz="0" w:space="0" w:color="auto"/>
        <w:left w:val="none" w:sz="0" w:space="0" w:color="auto"/>
        <w:bottom w:val="none" w:sz="0" w:space="0" w:color="auto"/>
        <w:right w:val="none" w:sz="0" w:space="0" w:color="auto"/>
      </w:divBdr>
    </w:div>
    <w:div w:id="800806838">
      <w:bodyDiv w:val="1"/>
      <w:marLeft w:val="0"/>
      <w:marRight w:val="0"/>
      <w:marTop w:val="0"/>
      <w:marBottom w:val="0"/>
      <w:divBdr>
        <w:top w:val="none" w:sz="0" w:space="0" w:color="auto"/>
        <w:left w:val="none" w:sz="0" w:space="0" w:color="auto"/>
        <w:bottom w:val="none" w:sz="0" w:space="0" w:color="auto"/>
        <w:right w:val="none" w:sz="0" w:space="0" w:color="auto"/>
      </w:divBdr>
    </w:div>
    <w:div w:id="862549623">
      <w:bodyDiv w:val="1"/>
      <w:marLeft w:val="0"/>
      <w:marRight w:val="0"/>
      <w:marTop w:val="0"/>
      <w:marBottom w:val="0"/>
      <w:divBdr>
        <w:top w:val="none" w:sz="0" w:space="0" w:color="auto"/>
        <w:left w:val="none" w:sz="0" w:space="0" w:color="auto"/>
        <w:bottom w:val="none" w:sz="0" w:space="0" w:color="auto"/>
        <w:right w:val="none" w:sz="0" w:space="0" w:color="auto"/>
      </w:divBdr>
      <w:divsChild>
        <w:div w:id="1673947364">
          <w:marLeft w:val="547"/>
          <w:marRight w:val="0"/>
          <w:marTop w:val="200"/>
          <w:marBottom w:val="160"/>
          <w:divBdr>
            <w:top w:val="none" w:sz="0" w:space="0" w:color="auto"/>
            <w:left w:val="none" w:sz="0" w:space="0" w:color="auto"/>
            <w:bottom w:val="none" w:sz="0" w:space="0" w:color="auto"/>
            <w:right w:val="none" w:sz="0" w:space="0" w:color="auto"/>
          </w:divBdr>
        </w:div>
        <w:div w:id="972832793">
          <w:marLeft w:val="1627"/>
          <w:marRight w:val="0"/>
          <w:marTop w:val="100"/>
          <w:marBottom w:val="160"/>
          <w:divBdr>
            <w:top w:val="none" w:sz="0" w:space="0" w:color="auto"/>
            <w:left w:val="none" w:sz="0" w:space="0" w:color="auto"/>
            <w:bottom w:val="none" w:sz="0" w:space="0" w:color="auto"/>
            <w:right w:val="none" w:sz="0" w:space="0" w:color="auto"/>
          </w:divBdr>
        </w:div>
        <w:div w:id="1033918716">
          <w:marLeft w:val="1627"/>
          <w:marRight w:val="0"/>
          <w:marTop w:val="100"/>
          <w:marBottom w:val="160"/>
          <w:divBdr>
            <w:top w:val="none" w:sz="0" w:space="0" w:color="auto"/>
            <w:left w:val="none" w:sz="0" w:space="0" w:color="auto"/>
            <w:bottom w:val="none" w:sz="0" w:space="0" w:color="auto"/>
            <w:right w:val="none" w:sz="0" w:space="0" w:color="auto"/>
          </w:divBdr>
        </w:div>
        <w:div w:id="881407968">
          <w:marLeft w:val="1627"/>
          <w:marRight w:val="0"/>
          <w:marTop w:val="100"/>
          <w:marBottom w:val="160"/>
          <w:divBdr>
            <w:top w:val="none" w:sz="0" w:space="0" w:color="auto"/>
            <w:left w:val="none" w:sz="0" w:space="0" w:color="auto"/>
            <w:bottom w:val="none" w:sz="0" w:space="0" w:color="auto"/>
            <w:right w:val="none" w:sz="0" w:space="0" w:color="auto"/>
          </w:divBdr>
        </w:div>
        <w:div w:id="910694030">
          <w:marLeft w:val="547"/>
          <w:marRight w:val="0"/>
          <w:marTop w:val="200"/>
          <w:marBottom w:val="160"/>
          <w:divBdr>
            <w:top w:val="none" w:sz="0" w:space="0" w:color="auto"/>
            <w:left w:val="none" w:sz="0" w:space="0" w:color="auto"/>
            <w:bottom w:val="none" w:sz="0" w:space="0" w:color="auto"/>
            <w:right w:val="none" w:sz="0" w:space="0" w:color="auto"/>
          </w:divBdr>
        </w:div>
        <w:div w:id="1356230811">
          <w:marLeft w:val="1627"/>
          <w:marRight w:val="0"/>
          <w:marTop w:val="100"/>
          <w:marBottom w:val="160"/>
          <w:divBdr>
            <w:top w:val="none" w:sz="0" w:space="0" w:color="auto"/>
            <w:left w:val="none" w:sz="0" w:space="0" w:color="auto"/>
            <w:bottom w:val="none" w:sz="0" w:space="0" w:color="auto"/>
            <w:right w:val="none" w:sz="0" w:space="0" w:color="auto"/>
          </w:divBdr>
        </w:div>
        <w:div w:id="1667972847">
          <w:marLeft w:val="1627"/>
          <w:marRight w:val="0"/>
          <w:marTop w:val="100"/>
          <w:marBottom w:val="160"/>
          <w:divBdr>
            <w:top w:val="none" w:sz="0" w:space="0" w:color="auto"/>
            <w:left w:val="none" w:sz="0" w:space="0" w:color="auto"/>
            <w:bottom w:val="none" w:sz="0" w:space="0" w:color="auto"/>
            <w:right w:val="none" w:sz="0" w:space="0" w:color="auto"/>
          </w:divBdr>
        </w:div>
        <w:div w:id="73672374">
          <w:marLeft w:val="1627"/>
          <w:marRight w:val="0"/>
          <w:marTop w:val="100"/>
          <w:marBottom w:val="160"/>
          <w:divBdr>
            <w:top w:val="none" w:sz="0" w:space="0" w:color="auto"/>
            <w:left w:val="none" w:sz="0" w:space="0" w:color="auto"/>
            <w:bottom w:val="none" w:sz="0" w:space="0" w:color="auto"/>
            <w:right w:val="none" w:sz="0" w:space="0" w:color="auto"/>
          </w:divBdr>
        </w:div>
      </w:divsChild>
    </w:div>
    <w:div w:id="1533037243">
      <w:bodyDiv w:val="1"/>
      <w:marLeft w:val="0"/>
      <w:marRight w:val="0"/>
      <w:marTop w:val="0"/>
      <w:marBottom w:val="0"/>
      <w:divBdr>
        <w:top w:val="none" w:sz="0" w:space="0" w:color="auto"/>
        <w:left w:val="none" w:sz="0" w:space="0" w:color="auto"/>
        <w:bottom w:val="none" w:sz="0" w:space="0" w:color="auto"/>
        <w:right w:val="none" w:sz="0" w:space="0" w:color="auto"/>
      </w:divBdr>
    </w:div>
    <w:div w:id="1538423469">
      <w:bodyDiv w:val="1"/>
      <w:marLeft w:val="0"/>
      <w:marRight w:val="0"/>
      <w:marTop w:val="0"/>
      <w:marBottom w:val="0"/>
      <w:divBdr>
        <w:top w:val="none" w:sz="0" w:space="0" w:color="auto"/>
        <w:left w:val="none" w:sz="0" w:space="0" w:color="auto"/>
        <w:bottom w:val="none" w:sz="0" w:space="0" w:color="auto"/>
        <w:right w:val="none" w:sz="0" w:space="0" w:color="auto"/>
      </w:divBdr>
    </w:div>
    <w:div w:id="1619220982">
      <w:bodyDiv w:val="1"/>
      <w:marLeft w:val="0"/>
      <w:marRight w:val="0"/>
      <w:marTop w:val="0"/>
      <w:marBottom w:val="0"/>
      <w:divBdr>
        <w:top w:val="none" w:sz="0" w:space="0" w:color="auto"/>
        <w:left w:val="none" w:sz="0" w:space="0" w:color="auto"/>
        <w:bottom w:val="none" w:sz="0" w:space="0" w:color="auto"/>
        <w:right w:val="none" w:sz="0" w:space="0" w:color="auto"/>
      </w:divBdr>
      <w:divsChild>
        <w:div w:id="152918496">
          <w:marLeft w:val="547"/>
          <w:marRight w:val="0"/>
          <w:marTop w:val="200"/>
          <w:marBottom w:val="0"/>
          <w:divBdr>
            <w:top w:val="none" w:sz="0" w:space="0" w:color="auto"/>
            <w:left w:val="none" w:sz="0" w:space="0" w:color="auto"/>
            <w:bottom w:val="none" w:sz="0" w:space="0" w:color="auto"/>
            <w:right w:val="none" w:sz="0" w:space="0" w:color="auto"/>
          </w:divBdr>
        </w:div>
        <w:div w:id="1108740364">
          <w:marLeft w:val="1627"/>
          <w:marRight w:val="0"/>
          <w:marTop w:val="100"/>
          <w:marBottom w:val="0"/>
          <w:divBdr>
            <w:top w:val="none" w:sz="0" w:space="0" w:color="auto"/>
            <w:left w:val="none" w:sz="0" w:space="0" w:color="auto"/>
            <w:bottom w:val="none" w:sz="0" w:space="0" w:color="auto"/>
            <w:right w:val="none" w:sz="0" w:space="0" w:color="auto"/>
          </w:divBdr>
        </w:div>
        <w:div w:id="1120106579">
          <w:marLeft w:val="1627"/>
          <w:marRight w:val="0"/>
          <w:marTop w:val="100"/>
          <w:marBottom w:val="0"/>
          <w:divBdr>
            <w:top w:val="none" w:sz="0" w:space="0" w:color="auto"/>
            <w:left w:val="none" w:sz="0" w:space="0" w:color="auto"/>
            <w:bottom w:val="none" w:sz="0" w:space="0" w:color="auto"/>
            <w:right w:val="none" w:sz="0" w:space="0" w:color="auto"/>
          </w:divBdr>
        </w:div>
        <w:div w:id="2031176602">
          <w:marLeft w:val="1627"/>
          <w:marRight w:val="0"/>
          <w:marTop w:val="100"/>
          <w:marBottom w:val="0"/>
          <w:divBdr>
            <w:top w:val="none" w:sz="0" w:space="0" w:color="auto"/>
            <w:left w:val="none" w:sz="0" w:space="0" w:color="auto"/>
            <w:bottom w:val="none" w:sz="0" w:space="0" w:color="auto"/>
            <w:right w:val="none" w:sz="0" w:space="0" w:color="auto"/>
          </w:divBdr>
        </w:div>
      </w:divsChild>
    </w:div>
    <w:div w:id="1712874463">
      <w:bodyDiv w:val="1"/>
      <w:marLeft w:val="0"/>
      <w:marRight w:val="0"/>
      <w:marTop w:val="0"/>
      <w:marBottom w:val="0"/>
      <w:divBdr>
        <w:top w:val="none" w:sz="0" w:space="0" w:color="auto"/>
        <w:left w:val="none" w:sz="0" w:space="0" w:color="auto"/>
        <w:bottom w:val="none" w:sz="0" w:space="0" w:color="auto"/>
        <w:right w:val="none" w:sz="0" w:space="0" w:color="auto"/>
      </w:divBdr>
    </w:div>
    <w:div w:id="1744643678">
      <w:bodyDiv w:val="1"/>
      <w:marLeft w:val="0"/>
      <w:marRight w:val="0"/>
      <w:marTop w:val="0"/>
      <w:marBottom w:val="0"/>
      <w:divBdr>
        <w:top w:val="none" w:sz="0" w:space="0" w:color="auto"/>
        <w:left w:val="none" w:sz="0" w:space="0" w:color="auto"/>
        <w:bottom w:val="none" w:sz="0" w:space="0" w:color="auto"/>
        <w:right w:val="none" w:sz="0" w:space="0" w:color="auto"/>
      </w:divBdr>
    </w:div>
    <w:div w:id="1890335986">
      <w:bodyDiv w:val="1"/>
      <w:marLeft w:val="0"/>
      <w:marRight w:val="0"/>
      <w:marTop w:val="0"/>
      <w:marBottom w:val="0"/>
      <w:divBdr>
        <w:top w:val="none" w:sz="0" w:space="0" w:color="auto"/>
        <w:left w:val="none" w:sz="0" w:space="0" w:color="auto"/>
        <w:bottom w:val="none" w:sz="0" w:space="0" w:color="auto"/>
        <w:right w:val="none" w:sz="0" w:space="0" w:color="auto"/>
      </w:divBdr>
    </w:div>
    <w:div w:id="2080399288">
      <w:bodyDiv w:val="1"/>
      <w:marLeft w:val="0"/>
      <w:marRight w:val="0"/>
      <w:marTop w:val="0"/>
      <w:marBottom w:val="0"/>
      <w:divBdr>
        <w:top w:val="none" w:sz="0" w:space="0" w:color="auto"/>
        <w:left w:val="none" w:sz="0" w:space="0" w:color="auto"/>
        <w:bottom w:val="none" w:sz="0" w:space="0" w:color="auto"/>
        <w:right w:val="none" w:sz="0" w:space="0" w:color="auto"/>
      </w:divBdr>
      <w:divsChild>
        <w:div w:id="29694491">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A15C1-61B0-4B5D-9051-91E701C8193D}"/>
</file>

<file path=customXml/itemProps2.xml><?xml version="1.0" encoding="utf-8"?>
<ds:datastoreItem xmlns:ds="http://schemas.openxmlformats.org/officeDocument/2006/customXml" ds:itemID="{E701D60B-4297-4FDD-A430-42CD6B96216D}"/>
</file>

<file path=customXml/itemProps3.xml><?xml version="1.0" encoding="utf-8"?>
<ds:datastoreItem xmlns:ds="http://schemas.openxmlformats.org/officeDocument/2006/customXml" ds:itemID="{B4E90A13-F2A7-4283-A18D-28B0D71E51B9}"/>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Brooke</dc:creator>
  <cp:keywords/>
  <dc:description/>
  <cp:lastModifiedBy>Bethany Yee</cp:lastModifiedBy>
  <cp:revision>4</cp:revision>
  <dcterms:created xsi:type="dcterms:W3CDTF">2025-02-11T17:11:00Z</dcterms:created>
  <dcterms:modified xsi:type="dcterms:W3CDTF">2025-08-08T21:24:00Z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