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6"/>
      </w:tblGrid>
      <w:tr w:rsidR="006D4713" w:rsidRPr="0050053A" w14:paraId="6C68AC80" w14:textId="77777777" w:rsidTr="002268E6">
        <w:trPr>
          <w:trHeight w:val="709"/>
          <w:jc w:val="center"/>
        </w:trPr>
        <w:tc>
          <w:tcPr>
            <w:tcW w:w="8516" w:type="dxa"/>
            <w:shd w:val="clear" w:color="auto" w:fill="auto"/>
          </w:tcPr>
          <w:p w14:paraId="6C68AC7F" w14:textId="5323A619" w:rsidR="006D4713" w:rsidRPr="00C5429C" w:rsidRDefault="001A7EEB" w:rsidP="009C198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AT estimation: trimming</w:t>
            </w:r>
            <w:r w:rsidR="004D3413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</w:t>
            </w:r>
            <w:r w:rsidR="00C5429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the V̇</w:t>
            </w:r>
            <w:r w:rsidR="00A155F5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C</w:t>
            </w:r>
            <w:r w:rsidR="00C5429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O</w:t>
            </w:r>
            <w:r w:rsidR="00C5429C" w:rsidRPr="00C5429C">
              <w:rPr>
                <w:rFonts w:ascii="Arial" w:hAnsi="Arial" w:cs="Arial"/>
                <w:b/>
                <w:sz w:val="22"/>
                <w:szCs w:val="22"/>
                <w:vertAlign w:val="subscript"/>
                <w:lang w:val="en-US" w:eastAsia="en-GB"/>
              </w:rPr>
              <w:t>2</w:t>
            </w:r>
            <w:r w:rsidR="00C5429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-V̇O</w:t>
            </w:r>
            <w:r w:rsidR="00C5429C">
              <w:rPr>
                <w:rFonts w:ascii="Arial" w:hAnsi="Arial" w:cs="Arial"/>
                <w:b/>
                <w:sz w:val="22"/>
                <w:szCs w:val="22"/>
                <w:vertAlign w:val="subscript"/>
                <w:lang w:val="en-US" w:eastAsia="en-GB"/>
              </w:rPr>
              <w:t>2</w:t>
            </w:r>
            <w:r w:rsidR="00C5429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relationship</w:t>
            </w:r>
            <w:r w:rsidR="00083DC5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</w:t>
            </w:r>
            <w:r w:rsidR="004D3413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to a biphasic response </w:t>
            </w:r>
          </w:p>
        </w:tc>
      </w:tr>
      <w:tr w:rsidR="006D4713" w:rsidRPr="0050053A" w14:paraId="6C68AC82" w14:textId="77777777" w:rsidTr="002268E6">
        <w:trPr>
          <w:trHeight w:val="709"/>
          <w:jc w:val="center"/>
        </w:trPr>
        <w:tc>
          <w:tcPr>
            <w:tcW w:w="8516" w:type="dxa"/>
            <w:shd w:val="clear" w:color="auto" w:fill="auto"/>
          </w:tcPr>
          <w:p w14:paraId="6C68AC81" w14:textId="3A26EB85" w:rsidR="006D4713" w:rsidRPr="0050053A" w:rsidRDefault="00D33C51" w:rsidP="009C1987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Simon Green</w:t>
            </w:r>
            <w:r w:rsidR="006D4713"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="0047173F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,2</w:t>
            </w:r>
            <w:r w:rsidR="006D4713"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bookmarkEnd w:id="0"/>
            <w:r w:rsidR="0047173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Matt Goldsmith</w:t>
            </w:r>
            <w:r w:rsidR="0047173F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6D4713"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r w:rsidR="0047173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Belinda Cochrane</w:t>
            </w:r>
            <w:r w:rsidR="0047173F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116EC5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,4</w:t>
            </w:r>
          </w:p>
        </w:tc>
      </w:tr>
      <w:tr w:rsidR="006D4713" w:rsidRPr="0050053A" w14:paraId="6C68AC88" w14:textId="77777777" w:rsidTr="002268E6">
        <w:trPr>
          <w:trHeight w:val="126"/>
          <w:jc w:val="center"/>
        </w:trPr>
        <w:tc>
          <w:tcPr>
            <w:tcW w:w="8516" w:type="dxa"/>
            <w:shd w:val="clear" w:color="auto" w:fill="auto"/>
          </w:tcPr>
          <w:p w14:paraId="6C68AC83" w14:textId="36C9152D" w:rsidR="006D4713" w:rsidRPr="0050053A" w:rsidRDefault="006D4713" w:rsidP="009C1987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47173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School of Health Sciences, Western Sydney University, </w:t>
            </w:r>
            <w:r w:rsidR="00992F0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NSW,</w:t>
            </w:r>
            <w:r w:rsidR="0047173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Australia.</w:t>
            </w:r>
          </w:p>
          <w:p w14:paraId="6C68AC84" w14:textId="76BFCA84" w:rsidR="006D4713" w:rsidRPr="0050053A" w:rsidRDefault="006D4713" w:rsidP="009C1987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47173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Department of Cardiology, Campbelltown Hospital, </w:t>
            </w:r>
            <w:r w:rsidR="00992F0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NSW,</w:t>
            </w:r>
            <w:r w:rsidR="0047173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Australia.</w:t>
            </w:r>
          </w:p>
          <w:p w14:paraId="37AD5A60" w14:textId="77777777" w:rsidR="006D4713" w:rsidRDefault="006D4713" w:rsidP="00D02B65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47173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Department of Respiratory, Campbelltown Hospital, </w:t>
            </w:r>
            <w:r w:rsidR="00992F0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NSW,</w:t>
            </w:r>
            <w:r w:rsidR="0047173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Australia.</w:t>
            </w:r>
          </w:p>
          <w:p w14:paraId="6C68AC87" w14:textId="1F7BC11D" w:rsidR="00116EC5" w:rsidRPr="0050053A" w:rsidRDefault="00116EC5" w:rsidP="00D02B65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116EC5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School of Medicine, Western Sydney University, NSW, Australia</w:t>
            </w:r>
          </w:p>
        </w:tc>
      </w:tr>
      <w:tr w:rsidR="006D4713" w:rsidRPr="0050053A" w14:paraId="6C68ACA3" w14:textId="77777777" w:rsidTr="002268E6">
        <w:trPr>
          <w:trHeight w:hRule="exact" w:val="9745"/>
          <w:jc w:val="center"/>
        </w:trPr>
        <w:tc>
          <w:tcPr>
            <w:tcW w:w="8516" w:type="dxa"/>
            <w:shd w:val="clear" w:color="auto" w:fill="auto"/>
          </w:tcPr>
          <w:p w14:paraId="6C68AC8C" w14:textId="207CEAC8" w:rsidR="006D4713" w:rsidRPr="00A155F5" w:rsidRDefault="00752808" w:rsidP="009C1987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="006D4713" w:rsidRPr="0050053A">
              <w:rPr>
                <w:rStyle w:val="A4"/>
                <w:b/>
                <w:bCs/>
              </w:rPr>
              <w:t xml:space="preserve">Aim: </w:t>
            </w:r>
            <w:r w:rsidR="00083DC5">
              <w:rPr>
                <w:rStyle w:val="A4"/>
              </w:rPr>
              <w:t>Estimation of</w:t>
            </w:r>
            <w:r w:rsidR="00D026E6">
              <w:rPr>
                <w:rStyle w:val="A4"/>
              </w:rPr>
              <w:t xml:space="preserve"> the anaerobic threshold </w:t>
            </w:r>
            <w:r w:rsidR="00A155F5">
              <w:rPr>
                <w:rStyle w:val="A4"/>
              </w:rPr>
              <w:t xml:space="preserve">(AT) </w:t>
            </w:r>
            <w:r w:rsidR="00083DC5">
              <w:rPr>
                <w:rStyle w:val="A4"/>
              </w:rPr>
              <w:t>from</w:t>
            </w:r>
            <w:r w:rsidR="00D026E6">
              <w:rPr>
                <w:rStyle w:val="A4"/>
              </w:rPr>
              <w:t xml:space="preserve"> </w:t>
            </w:r>
            <w:r w:rsidR="00A155F5">
              <w:rPr>
                <w:rStyle w:val="A4"/>
              </w:rPr>
              <w:t>V̇CO</w:t>
            </w:r>
            <w:r w:rsidR="00A155F5" w:rsidRPr="00A155F5">
              <w:rPr>
                <w:rStyle w:val="A4"/>
                <w:vertAlign w:val="subscript"/>
              </w:rPr>
              <w:t>2</w:t>
            </w:r>
            <w:r w:rsidR="008F49BC">
              <w:rPr>
                <w:rStyle w:val="A4"/>
              </w:rPr>
              <w:t>-</w:t>
            </w:r>
            <w:r w:rsidR="00D026E6">
              <w:rPr>
                <w:rStyle w:val="A4"/>
              </w:rPr>
              <w:t>V</w:t>
            </w:r>
            <w:r w:rsidR="00A155F5">
              <w:rPr>
                <w:rStyle w:val="A4"/>
              </w:rPr>
              <w:t>̇</w:t>
            </w:r>
            <w:r w:rsidR="00D026E6">
              <w:rPr>
                <w:rStyle w:val="A4"/>
              </w:rPr>
              <w:t>O</w:t>
            </w:r>
            <w:r w:rsidR="00D026E6" w:rsidRPr="00A155F5">
              <w:rPr>
                <w:rStyle w:val="A4"/>
                <w:vertAlign w:val="subscript"/>
              </w:rPr>
              <w:t>2</w:t>
            </w:r>
            <w:r w:rsidR="00D026E6">
              <w:rPr>
                <w:rStyle w:val="A4"/>
              </w:rPr>
              <w:t xml:space="preserve"> </w:t>
            </w:r>
            <w:r w:rsidR="008F49BC">
              <w:rPr>
                <w:rStyle w:val="A4"/>
              </w:rPr>
              <w:t xml:space="preserve">relationship </w:t>
            </w:r>
            <w:r w:rsidR="00D026E6">
              <w:rPr>
                <w:rStyle w:val="A4"/>
              </w:rPr>
              <w:t xml:space="preserve">is </w:t>
            </w:r>
            <w:r w:rsidR="00083DC5">
              <w:rPr>
                <w:rStyle w:val="A4"/>
              </w:rPr>
              <w:t xml:space="preserve">complicated by evidence that this relationship </w:t>
            </w:r>
            <w:r w:rsidR="00194926">
              <w:rPr>
                <w:rStyle w:val="A4"/>
              </w:rPr>
              <w:t xml:space="preserve">often consists of three thresholds. </w:t>
            </w:r>
            <w:r w:rsidR="00083DC5">
              <w:rPr>
                <w:rStyle w:val="A4"/>
              </w:rPr>
              <w:t>Corroboration of additional thresholds with the expired ventilation rate (</w:t>
            </w:r>
            <w:proofErr w:type="spellStart"/>
            <w:r w:rsidR="00083DC5">
              <w:rPr>
                <w:rStyle w:val="A4"/>
              </w:rPr>
              <w:t>V̇</w:t>
            </w:r>
            <w:r w:rsidR="00083DC5">
              <w:rPr>
                <w:rStyle w:val="A4"/>
                <w:vertAlign w:val="subscript"/>
              </w:rPr>
              <w:t>e</w:t>
            </w:r>
            <w:proofErr w:type="spellEnd"/>
            <w:r w:rsidR="00083DC5">
              <w:rPr>
                <w:rStyle w:val="A4"/>
              </w:rPr>
              <w:t>) might be useful to refining visual</w:t>
            </w:r>
            <w:r w:rsidR="002268E6">
              <w:rPr>
                <w:rStyle w:val="A4"/>
              </w:rPr>
              <w:t>-based methods of estimating</w:t>
            </w:r>
            <w:r w:rsidR="00083DC5">
              <w:rPr>
                <w:rStyle w:val="A4"/>
              </w:rPr>
              <w:t xml:space="preserve"> AT.</w:t>
            </w:r>
          </w:p>
          <w:p w14:paraId="6C68AC90" w14:textId="6B471550" w:rsidR="006D4713" w:rsidRPr="006F17DD" w:rsidRDefault="006D4713" w:rsidP="009C1987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Method: </w:t>
            </w:r>
            <w:r w:rsidR="00C9394B">
              <w:rPr>
                <w:rStyle w:val="A4"/>
              </w:rPr>
              <w:t>1</w:t>
            </w:r>
            <w:r w:rsidR="006D56DB">
              <w:rPr>
                <w:rStyle w:val="A4"/>
              </w:rPr>
              <w:t>0</w:t>
            </w:r>
            <w:r w:rsidR="00BD2F47" w:rsidRPr="00BD2F47">
              <w:rPr>
                <w:rStyle w:val="A4"/>
              </w:rPr>
              <w:t xml:space="preserve"> healthy</w:t>
            </w:r>
            <w:r w:rsidR="00BD2F47">
              <w:rPr>
                <w:rStyle w:val="A4"/>
              </w:rPr>
              <w:t xml:space="preserve"> participants completed </w:t>
            </w:r>
            <w:r w:rsidR="007C1C14">
              <w:rPr>
                <w:rStyle w:val="A4"/>
              </w:rPr>
              <w:t xml:space="preserve">a </w:t>
            </w:r>
            <w:r w:rsidR="0081166A">
              <w:rPr>
                <w:rStyle w:val="A4"/>
              </w:rPr>
              <w:t xml:space="preserve">maximum </w:t>
            </w:r>
            <w:r w:rsidR="007C1C14">
              <w:rPr>
                <w:rStyle w:val="A4"/>
              </w:rPr>
              <w:t>ramp protocol (10 W</w:t>
            </w:r>
            <w:r w:rsidR="007C1C14" w:rsidRPr="00356E4E">
              <w:rPr>
                <w:rStyle w:val="A4"/>
                <w:vertAlign w:val="superscript"/>
              </w:rPr>
              <w:t>.</w:t>
            </w:r>
            <w:r w:rsidR="007C1C14">
              <w:rPr>
                <w:rStyle w:val="A4"/>
              </w:rPr>
              <w:t>min</w:t>
            </w:r>
            <w:r w:rsidR="007C1C14" w:rsidRPr="00356E4E">
              <w:rPr>
                <w:rStyle w:val="A4"/>
                <w:vertAlign w:val="superscript"/>
              </w:rPr>
              <w:t>-1</w:t>
            </w:r>
            <w:r w:rsidR="007C1C14">
              <w:rPr>
                <w:rStyle w:val="A4"/>
              </w:rPr>
              <w:t xml:space="preserve">) </w:t>
            </w:r>
            <w:r w:rsidR="008C753A">
              <w:rPr>
                <w:rStyle w:val="A4"/>
              </w:rPr>
              <w:t>on a cycle ergometer with</w:t>
            </w:r>
            <w:r w:rsidR="00BD2F47">
              <w:rPr>
                <w:rStyle w:val="A4"/>
              </w:rPr>
              <w:t xml:space="preserve"> </w:t>
            </w:r>
            <w:r w:rsidR="008C753A">
              <w:rPr>
                <w:rStyle w:val="A4"/>
              </w:rPr>
              <w:t>ventilation and respiratory gas fractions</w:t>
            </w:r>
            <w:r w:rsidR="00BD2F47">
              <w:rPr>
                <w:rStyle w:val="A4"/>
              </w:rPr>
              <w:t xml:space="preserve"> </w:t>
            </w:r>
            <w:r w:rsidR="008C753A">
              <w:rPr>
                <w:rStyle w:val="A4"/>
              </w:rPr>
              <w:t xml:space="preserve">measured breath-by-breath. </w:t>
            </w:r>
            <w:r w:rsidR="00194926">
              <w:rPr>
                <w:rStyle w:val="A4"/>
              </w:rPr>
              <w:t>A four-phase function was used to identify three thresholds in</w:t>
            </w:r>
            <w:r w:rsidR="006F17DD">
              <w:rPr>
                <w:rStyle w:val="A4"/>
              </w:rPr>
              <w:t xml:space="preserve"> </w:t>
            </w:r>
            <w:r w:rsidR="000E3880">
              <w:rPr>
                <w:rStyle w:val="A4"/>
              </w:rPr>
              <w:t>V̇CO</w:t>
            </w:r>
            <w:r w:rsidR="000E3880" w:rsidRPr="001047DC">
              <w:rPr>
                <w:rStyle w:val="A4"/>
                <w:vertAlign w:val="subscript"/>
              </w:rPr>
              <w:t>2</w:t>
            </w:r>
            <w:r w:rsidR="000E3880">
              <w:rPr>
                <w:rStyle w:val="A4"/>
              </w:rPr>
              <w:t>-V̇O</w:t>
            </w:r>
            <w:r w:rsidR="000E3880" w:rsidRPr="001047DC">
              <w:rPr>
                <w:rStyle w:val="A4"/>
                <w:vertAlign w:val="subscript"/>
              </w:rPr>
              <w:t>2</w:t>
            </w:r>
            <w:r w:rsidR="00194926">
              <w:rPr>
                <w:rStyle w:val="A4"/>
              </w:rPr>
              <w:t xml:space="preserve">, </w:t>
            </w:r>
            <w:r w:rsidR="00F67D54">
              <w:rPr>
                <w:rStyle w:val="A4"/>
              </w:rPr>
              <w:t>V̇</w:t>
            </w:r>
            <w:r w:rsidR="00F67D54">
              <w:rPr>
                <w:rStyle w:val="A4"/>
                <w:vertAlign w:val="subscript"/>
              </w:rPr>
              <w:t>e</w:t>
            </w:r>
            <w:r w:rsidR="00F67D54">
              <w:rPr>
                <w:rStyle w:val="A4"/>
              </w:rPr>
              <w:t>-</w:t>
            </w:r>
            <w:r w:rsidR="006F17DD">
              <w:rPr>
                <w:rStyle w:val="A4"/>
              </w:rPr>
              <w:t>V̇CO</w:t>
            </w:r>
            <w:r w:rsidR="006F17DD">
              <w:rPr>
                <w:rStyle w:val="A4"/>
                <w:vertAlign w:val="subscript"/>
              </w:rPr>
              <w:t>2</w:t>
            </w:r>
            <w:r w:rsidR="006F17DD">
              <w:rPr>
                <w:rStyle w:val="A4"/>
              </w:rPr>
              <w:t xml:space="preserve"> and </w:t>
            </w:r>
            <w:r w:rsidR="00F67D54">
              <w:rPr>
                <w:rStyle w:val="A4"/>
              </w:rPr>
              <w:t>V̇</w:t>
            </w:r>
            <w:r w:rsidR="00F67D54">
              <w:rPr>
                <w:rStyle w:val="A4"/>
                <w:vertAlign w:val="subscript"/>
              </w:rPr>
              <w:t>e</w:t>
            </w:r>
            <w:r w:rsidR="00F67D54">
              <w:rPr>
                <w:rStyle w:val="A4"/>
              </w:rPr>
              <w:t>-</w:t>
            </w:r>
            <w:r w:rsidR="006F17DD">
              <w:rPr>
                <w:rStyle w:val="A4"/>
              </w:rPr>
              <w:t>V̇O</w:t>
            </w:r>
            <w:r w:rsidR="006F17DD">
              <w:rPr>
                <w:rStyle w:val="A4"/>
                <w:vertAlign w:val="subscript"/>
              </w:rPr>
              <w:t>2</w:t>
            </w:r>
            <w:r w:rsidR="00292E46">
              <w:rPr>
                <w:rStyle w:val="A4"/>
              </w:rPr>
              <w:t xml:space="preserve"> responses</w:t>
            </w:r>
            <w:r w:rsidR="00194926">
              <w:rPr>
                <w:rStyle w:val="A4"/>
              </w:rPr>
              <w:t>, namely the</w:t>
            </w:r>
            <w:r w:rsidR="006F17DD">
              <w:rPr>
                <w:rStyle w:val="A4"/>
              </w:rPr>
              <w:t xml:space="preserve"> initial adaptive threshold (IAT), A</w:t>
            </w:r>
            <w:r w:rsidR="00292E46">
              <w:rPr>
                <w:rStyle w:val="A4"/>
              </w:rPr>
              <w:t>T</w:t>
            </w:r>
            <w:r w:rsidR="006F17DD">
              <w:rPr>
                <w:rStyle w:val="A4"/>
              </w:rPr>
              <w:t xml:space="preserve"> and respiratory compensation threshold (RCT).</w:t>
            </w:r>
            <w:r w:rsidR="00292E46">
              <w:rPr>
                <w:rStyle w:val="A4"/>
              </w:rPr>
              <w:t xml:space="preserve"> AT estimates from the fitting of the four-phase function were compared with AT estimates from a new procedure which </w:t>
            </w:r>
            <w:r w:rsidR="002268E6">
              <w:rPr>
                <w:rStyle w:val="A4"/>
              </w:rPr>
              <w:t xml:space="preserve">incorporated </w:t>
            </w:r>
            <w:proofErr w:type="spellStart"/>
            <w:r w:rsidR="002268E6">
              <w:rPr>
                <w:rStyle w:val="A4"/>
              </w:rPr>
              <w:t>V̇</w:t>
            </w:r>
            <w:r w:rsidR="002268E6">
              <w:rPr>
                <w:rStyle w:val="A4"/>
                <w:vertAlign w:val="subscript"/>
              </w:rPr>
              <w:t>e</w:t>
            </w:r>
            <w:proofErr w:type="spellEnd"/>
            <w:r w:rsidR="002268E6">
              <w:rPr>
                <w:rStyle w:val="A4"/>
              </w:rPr>
              <w:t xml:space="preserve"> measurements </w:t>
            </w:r>
            <w:r w:rsidR="00F67D54">
              <w:rPr>
                <w:rStyle w:val="A4"/>
              </w:rPr>
              <w:t>and V̇CO</w:t>
            </w:r>
            <w:r w:rsidR="00F67D54" w:rsidRPr="002268E6">
              <w:rPr>
                <w:rStyle w:val="A4"/>
                <w:vertAlign w:val="subscript"/>
              </w:rPr>
              <w:t>2</w:t>
            </w:r>
            <w:r w:rsidR="00F67D54" w:rsidRPr="00F67D54">
              <w:rPr>
                <w:rStyle w:val="A4"/>
                <w:vertAlign w:val="superscript"/>
              </w:rPr>
              <w:t>-</w:t>
            </w:r>
            <w:r w:rsidR="00F67D54">
              <w:rPr>
                <w:rStyle w:val="A4"/>
              </w:rPr>
              <w:t>V̇O</w:t>
            </w:r>
            <w:r w:rsidR="00F67D54" w:rsidRPr="002268E6">
              <w:rPr>
                <w:rStyle w:val="A4"/>
                <w:vertAlign w:val="subscript"/>
              </w:rPr>
              <w:t>2</w:t>
            </w:r>
            <w:r w:rsidR="00F67D54">
              <w:rPr>
                <w:rStyle w:val="A4"/>
              </w:rPr>
              <w:t xml:space="preserve"> data </w:t>
            </w:r>
            <w:r w:rsidR="00194926">
              <w:rPr>
                <w:rStyle w:val="A4"/>
              </w:rPr>
              <w:t>trimmed</w:t>
            </w:r>
            <w:r w:rsidR="008F63FF">
              <w:rPr>
                <w:rStyle w:val="A4"/>
              </w:rPr>
              <w:t xml:space="preserve"> of responses below and above</w:t>
            </w:r>
            <w:r w:rsidR="00F67D54">
              <w:rPr>
                <w:rStyle w:val="A4"/>
              </w:rPr>
              <w:t xml:space="preserve"> IAT </w:t>
            </w:r>
            <w:r w:rsidR="008F63FF">
              <w:rPr>
                <w:rStyle w:val="A4"/>
              </w:rPr>
              <w:t xml:space="preserve">and </w:t>
            </w:r>
            <w:r w:rsidR="00F67D54">
              <w:rPr>
                <w:rStyle w:val="A4"/>
              </w:rPr>
              <w:t>RC</w:t>
            </w:r>
            <w:r w:rsidR="008F63FF">
              <w:rPr>
                <w:rStyle w:val="A4"/>
              </w:rPr>
              <w:t>T, respectively</w:t>
            </w:r>
            <w:r w:rsidR="002268E6">
              <w:rPr>
                <w:rStyle w:val="A4"/>
              </w:rPr>
              <w:t>.</w:t>
            </w:r>
          </w:p>
          <w:p w14:paraId="68212997" w14:textId="1657606A" w:rsidR="00292E46" w:rsidRPr="00292E46" w:rsidRDefault="006D4713" w:rsidP="00292E46">
            <w:pPr>
              <w:pStyle w:val="Default"/>
            </w:pPr>
            <w:r w:rsidRPr="0050053A">
              <w:rPr>
                <w:rStyle w:val="A4"/>
                <w:b/>
                <w:bCs/>
              </w:rPr>
              <w:t>Results:</w:t>
            </w:r>
            <w:r w:rsidR="006F5192">
              <w:rPr>
                <w:rStyle w:val="A4"/>
                <w:b/>
                <w:bCs/>
              </w:rPr>
              <w:t xml:space="preserve"> </w:t>
            </w:r>
            <w:r w:rsidR="00292E46">
              <w:rPr>
                <w:rStyle w:val="A4"/>
              </w:rPr>
              <w:t xml:space="preserve">IAT was not significantly different between </w:t>
            </w:r>
            <w:r w:rsidR="00F67D54">
              <w:rPr>
                <w:rStyle w:val="A4"/>
              </w:rPr>
              <w:t>V̇CO</w:t>
            </w:r>
            <w:r w:rsidR="00F67D54" w:rsidRPr="002268E6">
              <w:rPr>
                <w:rStyle w:val="A4"/>
                <w:vertAlign w:val="subscript"/>
              </w:rPr>
              <w:t>2</w:t>
            </w:r>
            <w:r w:rsidR="00F67D54" w:rsidRPr="00F67D54">
              <w:rPr>
                <w:rStyle w:val="A4"/>
                <w:vertAlign w:val="superscript"/>
              </w:rPr>
              <w:t>-</w:t>
            </w:r>
            <w:r w:rsidR="00F67D54">
              <w:rPr>
                <w:rStyle w:val="A4"/>
              </w:rPr>
              <w:t>V̇O</w:t>
            </w:r>
            <w:r w:rsidR="00F67D54" w:rsidRPr="002268E6">
              <w:rPr>
                <w:rStyle w:val="A4"/>
                <w:vertAlign w:val="subscript"/>
              </w:rPr>
              <w:t>2</w:t>
            </w:r>
            <w:r w:rsidR="00F67D54">
              <w:rPr>
                <w:rStyle w:val="A4"/>
              </w:rPr>
              <w:t xml:space="preserve"> </w:t>
            </w:r>
            <w:r w:rsidR="00292E46">
              <w:rPr>
                <w:rStyle w:val="A4"/>
              </w:rPr>
              <w:t>(0.95 ± 0.28 L</w:t>
            </w:r>
            <w:r w:rsidR="00292E46" w:rsidRPr="00292E46">
              <w:rPr>
                <w:rStyle w:val="A4"/>
                <w:vertAlign w:val="superscript"/>
              </w:rPr>
              <w:t>.</w:t>
            </w:r>
            <w:r w:rsidR="00292E46">
              <w:rPr>
                <w:rStyle w:val="A4"/>
              </w:rPr>
              <w:t>min</w:t>
            </w:r>
            <w:r w:rsidR="00292E46" w:rsidRPr="00292E46">
              <w:rPr>
                <w:rStyle w:val="A4"/>
                <w:vertAlign w:val="superscript"/>
              </w:rPr>
              <w:t>-1</w:t>
            </w:r>
            <w:r w:rsidR="00292E46">
              <w:rPr>
                <w:rStyle w:val="A4"/>
              </w:rPr>
              <w:t>)</w:t>
            </w:r>
            <w:r w:rsidR="00D109CA">
              <w:rPr>
                <w:rStyle w:val="A4"/>
              </w:rPr>
              <w:t xml:space="preserve">, </w:t>
            </w:r>
            <w:r w:rsidR="00F67D54">
              <w:rPr>
                <w:rStyle w:val="A4"/>
              </w:rPr>
              <w:t>V̇</w:t>
            </w:r>
            <w:r w:rsidR="00F67D54">
              <w:rPr>
                <w:rStyle w:val="A4"/>
                <w:vertAlign w:val="subscript"/>
              </w:rPr>
              <w:t>e</w:t>
            </w:r>
            <w:r w:rsidR="00F67D54">
              <w:rPr>
                <w:rStyle w:val="A4"/>
              </w:rPr>
              <w:t>-V̇CO</w:t>
            </w:r>
            <w:r w:rsidR="00F67D54">
              <w:rPr>
                <w:rStyle w:val="A4"/>
                <w:vertAlign w:val="subscript"/>
              </w:rPr>
              <w:t>2</w:t>
            </w:r>
            <w:r w:rsidR="00F67D54">
              <w:rPr>
                <w:rStyle w:val="A4"/>
              </w:rPr>
              <w:t xml:space="preserve"> </w:t>
            </w:r>
            <w:r w:rsidR="00D109CA">
              <w:rPr>
                <w:rStyle w:val="A4"/>
              </w:rPr>
              <w:t>(0.88 ± 0.49 L</w:t>
            </w:r>
            <w:r w:rsidR="00D109CA" w:rsidRPr="00292E46">
              <w:rPr>
                <w:rStyle w:val="A4"/>
                <w:vertAlign w:val="superscript"/>
              </w:rPr>
              <w:t>.</w:t>
            </w:r>
            <w:r w:rsidR="00D109CA">
              <w:rPr>
                <w:rStyle w:val="A4"/>
              </w:rPr>
              <w:t>min</w:t>
            </w:r>
            <w:r w:rsidR="00D109CA" w:rsidRPr="00292E46">
              <w:rPr>
                <w:rStyle w:val="A4"/>
                <w:vertAlign w:val="superscript"/>
              </w:rPr>
              <w:t>-1</w:t>
            </w:r>
            <w:r w:rsidR="00D109CA">
              <w:rPr>
                <w:rStyle w:val="A4"/>
              </w:rPr>
              <w:t>)</w:t>
            </w:r>
            <w:r w:rsidR="00292E46">
              <w:rPr>
                <w:rStyle w:val="A4"/>
              </w:rPr>
              <w:t xml:space="preserve"> </w:t>
            </w:r>
            <w:r w:rsidR="00D109CA">
              <w:rPr>
                <w:rStyle w:val="A4"/>
              </w:rPr>
              <w:t xml:space="preserve">and </w:t>
            </w:r>
            <w:r w:rsidR="00F67D54">
              <w:rPr>
                <w:rStyle w:val="A4"/>
              </w:rPr>
              <w:t>V̇</w:t>
            </w:r>
            <w:r w:rsidR="00F67D54">
              <w:rPr>
                <w:rStyle w:val="A4"/>
                <w:vertAlign w:val="subscript"/>
              </w:rPr>
              <w:t>e</w:t>
            </w:r>
            <w:r w:rsidR="00F67D54">
              <w:rPr>
                <w:rStyle w:val="A4"/>
              </w:rPr>
              <w:t>-V̇O</w:t>
            </w:r>
            <w:r w:rsidR="00F67D54">
              <w:rPr>
                <w:rStyle w:val="A4"/>
                <w:vertAlign w:val="subscript"/>
              </w:rPr>
              <w:t>2</w:t>
            </w:r>
            <w:r w:rsidR="00F67D54">
              <w:rPr>
                <w:rStyle w:val="A4"/>
              </w:rPr>
              <w:t xml:space="preserve"> </w:t>
            </w:r>
            <w:r w:rsidR="00D109CA">
              <w:rPr>
                <w:rStyle w:val="A4"/>
              </w:rPr>
              <w:t>(0.97 ± 0.43 L</w:t>
            </w:r>
            <w:r w:rsidR="00D109CA" w:rsidRPr="00292E46">
              <w:rPr>
                <w:rStyle w:val="A4"/>
                <w:vertAlign w:val="superscript"/>
              </w:rPr>
              <w:t>.</w:t>
            </w:r>
            <w:r w:rsidR="00D109CA">
              <w:rPr>
                <w:rStyle w:val="A4"/>
              </w:rPr>
              <w:t>min</w:t>
            </w:r>
            <w:r w:rsidR="00D109CA" w:rsidRPr="00292E46">
              <w:rPr>
                <w:rStyle w:val="A4"/>
                <w:vertAlign w:val="superscript"/>
              </w:rPr>
              <w:t>-1</w:t>
            </w:r>
            <w:r w:rsidR="00D109CA">
              <w:rPr>
                <w:rStyle w:val="A4"/>
              </w:rPr>
              <w:t xml:space="preserve">), </w:t>
            </w:r>
            <w:r w:rsidR="008F63FF">
              <w:rPr>
                <w:rStyle w:val="A4"/>
              </w:rPr>
              <w:t>although</w:t>
            </w:r>
            <w:r w:rsidR="00D109CA">
              <w:rPr>
                <w:rStyle w:val="A4"/>
              </w:rPr>
              <w:t xml:space="preserve"> these estimates were </w:t>
            </w:r>
            <w:proofErr w:type="spellStart"/>
            <w:r w:rsidR="008F63FF">
              <w:rPr>
                <w:rStyle w:val="A4"/>
              </w:rPr>
              <w:t>not</w:t>
            </w:r>
            <w:r w:rsidR="00D109CA">
              <w:rPr>
                <w:rStyle w:val="A4"/>
              </w:rPr>
              <w:t>correlated</w:t>
            </w:r>
            <w:proofErr w:type="spellEnd"/>
            <w:r w:rsidR="00D109CA">
              <w:rPr>
                <w:rStyle w:val="A4"/>
              </w:rPr>
              <w:t xml:space="preserve"> (r = 0.18 to 0.52, P &gt; 0.05). AT was not significantly different between </w:t>
            </w:r>
            <w:r w:rsidR="00F67D54">
              <w:rPr>
                <w:rStyle w:val="A4"/>
              </w:rPr>
              <w:t>V̇CO</w:t>
            </w:r>
            <w:r w:rsidR="00F67D54" w:rsidRPr="002268E6">
              <w:rPr>
                <w:rStyle w:val="A4"/>
                <w:vertAlign w:val="subscript"/>
              </w:rPr>
              <w:t>2</w:t>
            </w:r>
            <w:r w:rsidR="00F67D54" w:rsidRPr="00F67D54">
              <w:rPr>
                <w:rStyle w:val="A4"/>
                <w:vertAlign w:val="superscript"/>
              </w:rPr>
              <w:t>-</w:t>
            </w:r>
            <w:r w:rsidR="00F67D54">
              <w:rPr>
                <w:rStyle w:val="A4"/>
              </w:rPr>
              <w:t>V̇O</w:t>
            </w:r>
            <w:r w:rsidR="00F67D54" w:rsidRPr="002268E6">
              <w:rPr>
                <w:rStyle w:val="A4"/>
                <w:vertAlign w:val="subscript"/>
              </w:rPr>
              <w:t>2</w:t>
            </w:r>
            <w:r w:rsidR="00F67D54">
              <w:rPr>
                <w:rStyle w:val="A4"/>
              </w:rPr>
              <w:t xml:space="preserve"> </w:t>
            </w:r>
            <w:r w:rsidR="00D109CA">
              <w:rPr>
                <w:rStyle w:val="A4"/>
              </w:rPr>
              <w:t>(1.68 ± 0.55 L</w:t>
            </w:r>
            <w:r w:rsidR="00D109CA" w:rsidRPr="00292E46">
              <w:rPr>
                <w:rStyle w:val="A4"/>
                <w:vertAlign w:val="superscript"/>
              </w:rPr>
              <w:t>.</w:t>
            </w:r>
            <w:r w:rsidR="00D109CA">
              <w:rPr>
                <w:rStyle w:val="A4"/>
              </w:rPr>
              <w:t>min</w:t>
            </w:r>
            <w:r w:rsidR="00D109CA" w:rsidRPr="00292E46">
              <w:rPr>
                <w:rStyle w:val="A4"/>
                <w:vertAlign w:val="superscript"/>
              </w:rPr>
              <w:t>-1</w:t>
            </w:r>
            <w:r w:rsidR="00D109CA">
              <w:rPr>
                <w:rStyle w:val="A4"/>
              </w:rPr>
              <w:t xml:space="preserve">), </w:t>
            </w:r>
            <w:r w:rsidR="00F67D54">
              <w:rPr>
                <w:rStyle w:val="A4"/>
              </w:rPr>
              <w:t>V̇</w:t>
            </w:r>
            <w:r w:rsidR="00F67D54">
              <w:rPr>
                <w:rStyle w:val="A4"/>
                <w:vertAlign w:val="subscript"/>
              </w:rPr>
              <w:t>e</w:t>
            </w:r>
            <w:r w:rsidR="00F67D54">
              <w:rPr>
                <w:rStyle w:val="A4"/>
              </w:rPr>
              <w:t>-V̇CO</w:t>
            </w:r>
            <w:r w:rsidR="00F67D54">
              <w:rPr>
                <w:rStyle w:val="A4"/>
                <w:vertAlign w:val="subscript"/>
              </w:rPr>
              <w:t>2</w:t>
            </w:r>
            <w:r w:rsidR="00F67D54">
              <w:rPr>
                <w:rStyle w:val="A4"/>
              </w:rPr>
              <w:t xml:space="preserve"> </w:t>
            </w:r>
            <w:r w:rsidR="00D109CA">
              <w:rPr>
                <w:rStyle w:val="A4"/>
              </w:rPr>
              <w:t>(1.80 ± 0.41 L</w:t>
            </w:r>
            <w:r w:rsidR="00D109CA" w:rsidRPr="00292E46">
              <w:rPr>
                <w:rStyle w:val="A4"/>
                <w:vertAlign w:val="superscript"/>
              </w:rPr>
              <w:t>.</w:t>
            </w:r>
            <w:r w:rsidR="00D109CA">
              <w:rPr>
                <w:rStyle w:val="A4"/>
              </w:rPr>
              <w:t>min</w:t>
            </w:r>
            <w:r w:rsidR="00D109CA" w:rsidRPr="00292E46">
              <w:rPr>
                <w:rStyle w:val="A4"/>
                <w:vertAlign w:val="superscript"/>
              </w:rPr>
              <w:t>-1</w:t>
            </w:r>
            <w:r w:rsidR="00D109CA">
              <w:rPr>
                <w:rStyle w:val="A4"/>
              </w:rPr>
              <w:t xml:space="preserve">) and </w:t>
            </w:r>
            <w:r w:rsidR="00F67D54">
              <w:rPr>
                <w:rStyle w:val="A4"/>
              </w:rPr>
              <w:t>V̇</w:t>
            </w:r>
            <w:r w:rsidR="00F67D54">
              <w:rPr>
                <w:rStyle w:val="A4"/>
                <w:vertAlign w:val="subscript"/>
              </w:rPr>
              <w:t>e</w:t>
            </w:r>
            <w:r w:rsidR="00F67D54">
              <w:rPr>
                <w:rStyle w:val="A4"/>
              </w:rPr>
              <w:t>-V̇O</w:t>
            </w:r>
            <w:r w:rsidR="00F67D54">
              <w:rPr>
                <w:rStyle w:val="A4"/>
                <w:vertAlign w:val="subscript"/>
              </w:rPr>
              <w:t>2</w:t>
            </w:r>
            <w:r w:rsidR="00F67D54">
              <w:rPr>
                <w:rStyle w:val="A4"/>
              </w:rPr>
              <w:t xml:space="preserve"> </w:t>
            </w:r>
            <w:r w:rsidR="00D109CA">
              <w:rPr>
                <w:rStyle w:val="A4"/>
              </w:rPr>
              <w:t>(1.69 ± 0.51 L</w:t>
            </w:r>
            <w:r w:rsidR="00D109CA" w:rsidRPr="00292E46">
              <w:rPr>
                <w:rStyle w:val="A4"/>
                <w:vertAlign w:val="superscript"/>
              </w:rPr>
              <w:t>.</w:t>
            </w:r>
            <w:r w:rsidR="00D109CA">
              <w:rPr>
                <w:rStyle w:val="A4"/>
              </w:rPr>
              <w:t>min</w:t>
            </w:r>
            <w:r w:rsidR="00D109CA" w:rsidRPr="00292E46">
              <w:rPr>
                <w:rStyle w:val="A4"/>
                <w:vertAlign w:val="superscript"/>
              </w:rPr>
              <w:t>-1</w:t>
            </w:r>
            <w:r w:rsidR="00D109CA">
              <w:rPr>
                <w:rStyle w:val="A4"/>
              </w:rPr>
              <w:t xml:space="preserve">) </w:t>
            </w:r>
            <w:r w:rsidR="008F63FF">
              <w:rPr>
                <w:rStyle w:val="A4"/>
              </w:rPr>
              <w:t>but</w:t>
            </w:r>
            <w:r w:rsidR="00D109CA">
              <w:rPr>
                <w:rStyle w:val="A4"/>
              </w:rPr>
              <w:t xml:space="preserve"> estimates were significantly correlated (r &gt; 0.82, P &lt; 0.05).</w:t>
            </w:r>
            <w:r w:rsidR="008F63FF">
              <w:rPr>
                <w:rStyle w:val="A4"/>
              </w:rPr>
              <w:t xml:space="preserve"> </w:t>
            </w:r>
            <w:r w:rsidR="00D109CA">
              <w:rPr>
                <w:rStyle w:val="A4"/>
              </w:rPr>
              <w:t xml:space="preserve">RCT was not significantly different between </w:t>
            </w:r>
            <w:r w:rsidR="00F67D54">
              <w:rPr>
                <w:rStyle w:val="A4"/>
              </w:rPr>
              <w:t>V̇CO</w:t>
            </w:r>
            <w:r w:rsidR="00F67D54" w:rsidRPr="002268E6">
              <w:rPr>
                <w:rStyle w:val="A4"/>
                <w:vertAlign w:val="subscript"/>
              </w:rPr>
              <w:t>2</w:t>
            </w:r>
            <w:r w:rsidR="00F67D54" w:rsidRPr="00F67D54">
              <w:rPr>
                <w:rStyle w:val="A4"/>
                <w:vertAlign w:val="superscript"/>
              </w:rPr>
              <w:t>-</w:t>
            </w:r>
            <w:r w:rsidR="00F67D54">
              <w:rPr>
                <w:rStyle w:val="A4"/>
              </w:rPr>
              <w:t>V̇O</w:t>
            </w:r>
            <w:r w:rsidR="00F67D54" w:rsidRPr="002268E6">
              <w:rPr>
                <w:rStyle w:val="A4"/>
                <w:vertAlign w:val="subscript"/>
              </w:rPr>
              <w:t>2</w:t>
            </w:r>
            <w:r w:rsidR="00D109CA">
              <w:rPr>
                <w:rStyle w:val="A4"/>
              </w:rPr>
              <w:t xml:space="preserve"> (2.27 ± 0.35 L</w:t>
            </w:r>
            <w:r w:rsidR="00D109CA" w:rsidRPr="00292E46">
              <w:rPr>
                <w:rStyle w:val="A4"/>
                <w:vertAlign w:val="superscript"/>
              </w:rPr>
              <w:t>.</w:t>
            </w:r>
            <w:r w:rsidR="00D109CA">
              <w:rPr>
                <w:rStyle w:val="A4"/>
              </w:rPr>
              <w:t>min</w:t>
            </w:r>
            <w:r w:rsidR="00D109CA" w:rsidRPr="00292E46">
              <w:rPr>
                <w:rStyle w:val="A4"/>
                <w:vertAlign w:val="superscript"/>
              </w:rPr>
              <w:t>-1</w:t>
            </w:r>
            <w:r w:rsidR="00D109CA">
              <w:rPr>
                <w:rStyle w:val="A4"/>
              </w:rPr>
              <w:t xml:space="preserve">), </w:t>
            </w:r>
            <w:r w:rsidR="00F67D54">
              <w:rPr>
                <w:rStyle w:val="A4"/>
              </w:rPr>
              <w:t>V̇</w:t>
            </w:r>
            <w:r w:rsidR="00F67D54">
              <w:rPr>
                <w:rStyle w:val="A4"/>
                <w:vertAlign w:val="subscript"/>
              </w:rPr>
              <w:t>e</w:t>
            </w:r>
            <w:r w:rsidR="00F67D54">
              <w:rPr>
                <w:rStyle w:val="A4"/>
              </w:rPr>
              <w:t>-V̇CO</w:t>
            </w:r>
            <w:r w:rsidR="00F67D54">
              <w:rPr>
                <w:rStyle w:val="A4"/>
                <w:vertAlign w:val="subscript"/>
              </w:rPr>
              <w:t>2</w:t>
            </w:r>
            <w:r w:rsidR="00F67D54">
              <w:rPr>
                <w:rStyle w:val="A4"/>
              </w:rPr>
              <w:t xml:space="preserve"> </w:t>
            </w:r>
            <w:r w:rsidR="00D109CA">
              <w:rPr>
                <w:rStyle w:val="A4"/>
              </w:rPr>
              <w:t>(2.40 ± 0.41 L</w:t>
            </w:r>
            <w:r w:rsidR="00D109CA" w:rsidRPr="00292E46">
              <w:rPr>
                <w:rStyle w:val="A4"/>
                <w:vertAlign w:val="superscript"/>
              </w:rPr>
              <w:t>.</w:t>
            </w:r>
            <w:r w:rsidR="00D109CA">
              <w:rPr>
                <w:rStyle w:val="A4"/>
              </w:rPr>
              <w:t>min</w:t>
            </w:r>
            <w:r w:rsidR="00D109CA" w:rsidRPr="00292E46">
              <w:rPr>
                <w:rStyle w:val="A4"/>
                <w:vertAlign w:val="superscript"/>
              </w:rPr>
              <w:t>-1</w:t>
            </w:r>
            <w:r w:rsidR="00D109CA">
              <w:rPr>
                <w:rStyle w:val="A4"/>
              </w:rPr>
              <w:t xml:space="preserve">) and </w:t>
            </w:r>
            <w:r w:rsidR="00F67D54">
              <w:rPr>
                <w:rStyle w:val="A4"/>
              </w:rPr>
              <w:t>V̇</w:t>
            </w:r>
            <w:r w:rsidR="00F67D54">
              <w:rPr>
                <w:rStyle w:val="A4"/>
                <w:vertAlign w:val="subscript"/>
              </w:rPr>
              <w:t>e</w:t>
            </w:r>
            <w:r w:rsidR="00F67D54">
              <w:rPr>
                <w:rStyle w:val="A4"/>
              </w:rPr>
              <w:t>-V̇O</w:t>
            </w:r>
            <w:r w:rsidR="00F67D54">
              <w:rPr>
                <w:rStyle w:val="A4"/>
                <w:vertAlign w:val="subscript"/>
              </w:rPr>
              <w:t>2</w:t>
            </w:r>
            <w:r w:rsidR="00F67D54">
              <w:rPr>
                <w:rStyle w:val="A4"/>
              </w:rPr>
              <w:t xml:space="preserve"> </w:t>
            </w:r>
            <w:r w:rsidR="00D109CA">
              <w:rPr>
                <w:rStyle w:val="A4"/>
              </w:rPr>
              <w:t>(2.34 ± 0.51 L</w:t>
            </w:r>
            <w:r w:rsidR="00D109CA" w:rsidRPr="00292E46">
              <w:rPr>
                <w:rStyle w:val="A4"/>
                <w:vertAlign w:val="superscript"/>
              </w:rPr>
              <w:t>.</w:t>
            </w:r>
            <w:r w:rsidR="00D109CA">
              <w:rPr>
                <w:rStyle w:val="A4"/>
              </w:rPr>
              <w:t>min</w:t>
            </w:r>
            <w:r w:rsidR="00D109CA" w:rsidRPr="00292E46">
              <w:rPr>
                <w:rStyle w:val="A4"/>
                <w:vertAlign w:val="superscript"/>
              </w:rPr>
              <w:t>-1</w:t>
            </w:r>
            <w:r w:rsidR="00D109CA">
              <w:rPr>
                <w:rStyle w:val="A4"/>
              </w:rPr>
              <w:t>) and estimates were significantly correlated (r &gt; 0.87, P &lt; 0.05). AT estimate</w:t>
            </w:r>
            <w:r w:rsidR="008E01F1">
              <w:rPr>
                <w:rStyle w:val="A4"/>
              </w:rPr>
              <w:t>d from fitting</w:t>
            </w:r>
            <w:r w:rsidR="000C1944">
              <w:rPr>
                <w:rStyle w:val="A4"/>
              </w:rPr>
              <w:t xml:space="preserve"> trimmed</w:t>
            </w:r>
            <w:r w:rsidR="008E01F1">
              <w:rPr>
                <w:rStyle w:val="A4"/>
              </w:rPr>
              <w:t xml:space="preserve"> </w:t>
            </w:r>
            <w:r w:rsidR="000C1944">
              <w:rPr>
                <w:rStyle w:val="A4"/>
              </w:rPr>
              <w:t>V̇CO</w:t>
            </w:r>
            <w:r w:rsidR="000C1944" w:rsidRPr="002268E6">
              <w:rPr>
                <w:rStyle w:val="A4"/>
                <w:vertAlign w:val="subscript"/>
              </w:rPr>
              <w:t>2</w:t>
            </w:r>
            <w:r w:rsidR="000C1944" w:rsidRPr="00F67D54">
              <w:rPr>
                <w:rStyle w:val="A4"/>
                <w:vertAlign w:val="superscript"/>
              </w:rPr>
              <w:t>-</w:t>
            </w:r>
            <w:r w:rsidR="000C1944">
              <w:rPr>
                <w:rStyle w:val="A4"/>
              </w:rPr>
              <w:t>V̇O</w:t>
            </w:r>
            <w:r w:rsidR="000C1944" w:rsidRPr="002268E6">
              <w:rPr>
                <w:rStyle w:val="A4"/>
                <w:vertAlign w:val="subscript"/>
              </w:rPr>
              <w:t>2</w:t>
            </w:r>
            <w:r w:rsidR="000C1944">
              <w:rPr>
                <w:rStyle w:val="A4"/>
              </w:rPr>
              <w:t xml:space="preserve"> data </w:t>
            </w:r>
            <w:r w:rsidR="000C1944">
              <w:rPr>
                <w:rStyle w:val="A4"/>
              </w:rPr>
              <w:t>to</w:t>
            </w:r>
            <w:r w:rsidR="008E01F1">
              <w:rPr>
                <w:rStyle w:val="A4"/>
              </w:rPr>
              <w:t xml:space="preserve"> a biphasic function yielded AT estimates </w:t>
            </w:r>
            <w:r w:rsidR="00B033AA">
              <w:rPr>
                <w:rStyle w:val="A4"/>
              </w:rPr>
              <w:t>(1.67 ± 0.52 L</w:t>
            </w:r>
            <w:r w:rsidR="00B033AA" w:rsidRPr="00292E46">
              <w:rPr>
                <w:rStyle w:val="A4"/>
                <w:vertAlign w:val="superscript"/>
              </w:rPr>
              <w:t>.</w:t>
            </w:r>
            <w:r w:rsidR="00B033AA">
              <w:rPr>
                <w:rStyle w:val="A4"/>
              </w:rPr>
              <w:t>min</w:t>
            </w:r>
            <w:r w:rsidR="00B033AA" w:rsidRPr="00292E46">
              <w:rPr>
                <w:rStyle w:val="A4"/>
                <w:vertAlign w:val="superscript"/>
              </w:rPr>
              <w:t>-1</w:t>
            </w:r>
            <w:r w:rsidR="00B033AA">
              <w:rPr>
                <w:rStyle w:val="A4"/>
              </w:rPr>
              <w:t xml:space="preserve">) </w:t>
            </w:r>
            <w:proofErr w:type="gramStart"/>
            <w:r w:rsidR="000C1944">
              <w:rPr>
                <w:rStyle w:val="A4"/>
              </w:rPr>
              <w:t>similar to</w:t>
            </w:r>
            <w:proofErr w:type="gramEnd"/>
            <w:r w:rsidR="000C1944">
              <w:rPr>
                <w:rStyle w:val="A4"/>
              </w:rPr>
              <w:t xml:space="preserve"> </w:t>
            </w:r>
            <w:r w:rsidR="00B033AA">
              <w:rPr>
                <w:rStyle w:val="A4"/>
              </w:rPr>
              <w:t xml:space="preserve">estimates from </w:t>
            </w:r>
            <w:r w:rsidR="006259E5">
              <w:rPr>
                <w:rStyle w:val="A4"/>
              </w:rPr>
              <w:t xml:space="preserve">fitting all </w:t>
            </w:r>
            <w:r w:rsidR="00F67D54">
              <w:rPr>
                <w:rStyle w:val="A4"/>
              </w:rPr>
              <w:t>V̇CO</w:t>
            </w:r>
            <w:r w:rsidR="00F67D54" w:rsidRPr="002268E6">
              <w:rPr>
                <w:rStyle w:val="A4"/>
                <w:vertAlign w:val="subscript"/>
              </w:rPr>
              <w:t>2</w:t>
            </w:r>
            <w:r w:rsidR="00F67D54" w:rsidRPr="00F67D54">
              <w:rPr>
                <w:rStyle w:val="A4"/>
                <w:vertAlign w:val="superscript"/>
              </w:rPr>
              <w:t>-</w:t>
            </w:r>
            <w:r w:rsidR="00F67D54">
              <w:rPr>
                <w:rStyle w:val="A4"/>
              </w:rPr>
              <w:t>V̇O</w:t>
            </w:r>
            <w:r w:rsidR="00F67D54" w:rsidRPr="002268E6">
              <w:rPr>
                <w:rStyle w:val="A4"/>
                <w:vertAlign w:val="subscript"/>
              </w:rPr>
              <w:t>2</w:t>
            </w:r>
            <w:r w:rsidR="00F67D54">
              <w:rPr>
                <w:rStyle w:val="A4"/>
              </w:rPr>
              <w:t xml:space="preserve"> </w:t>
            </w:r>
            <w:r w:rsidR="006259E5">
              <w:rPr>
                <w:rStyle w:val="A4"/>
              </w:rPr>
              <w:t>data to a</w:t>
            </w:r>
            <w:r w:rsidR="00B033AA">
              <w:rPr>
                <w:rStyle w:val="A4"/>
              </w:rPr>
              <w:t xml:space="preserve"> 4-phase function </w:t>
            </w:r>
            <w:r w:rsidR="006259E5">
              <w:rPr>
                <w:rStyle w:val="A4"/>
              </w:rPr>
              <w:t>(absolute differences = 0.05 ± 0.06 L</w:t>
            </w:r>
            <w:r w:rsidR="006259E5" w:rsidRPr="006259E5">
              <w:rPr>
                <w:rStyle w:val="A4"/>
                <w:vertAlign w:val="superscript"/>
              </w:rPr>
              <w:t>.</w:t>
            </w:r>
            <w:r w:rsidR="006259E5">
              <w:rPr>
                <w:rStyle w:val="A4"/>
              </w:rPr>
              <w:t>min</w:t>
            </w:r>
            <w:r w:rsidR="006259E5" w:rsidRPr="006259E5">
              <w:rPr>
                <w:rStyle w:val="A4"/>
                <w:vertAlign w:val="superscript"/>
              </w:rPr>
              <w:t>-1</w:t>
            </w:r>
            <w:r w:rsidR="006259E5">
              <w:rPr>
                <w:rStyle w:val="A4"/>
              </w:rPr>
              <w:t>)</w:t>
            </w:r>
            <w:r w:rsidR="00620A6D">
              <w:rPr>
                <w:rStyle w:val="A4"/>
              </w:rPr>
              <w:t>.</w:t>
            </w:r>
          </w:p>
          <w:p w14:paraId="6C68AC95" w14:textId="7FBB5680" w:rsidR="006D4713" w:rsidRPr="00776161" w:rsidRDefault="006D4713" w:rsidP="009C1987">
            <w:pPr>
              <w:pStyle w:val="Pa12"/>
              <w:rPr>
                <w:rStyle w:val="A4"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  <w:r w:rsidR="00776161">
              <w:rPr>
                <w:rStyle w:val="A4"/>
              </w:rPr>
              <w:t xml:space="preserve">These data </w:t>
            </w:r>
            <w:r w:rsidR="00620A6D">
              <w:rPr>
                <w:rStyle w:val="A4"/>
              </w:rPr>
              <w:t>provide support for a</w:t>
            </w:r>
            <w:r w:rsidR="006A7862">
              <w:rPr>
                <w:rStyle w:val="A4"/>
              </w:rPr>
              <w:t>n improved</w:t>
            </w:r>
            <w:r w:rsidR="00620A6D">
              <w:rPr>
                <w:rStyle w:val="A4"/>
              </w:rPr>
              <w:t xml:space="preserve"> </w:t>
            </w:r>
            <w:r w:rsidR="006A7862">
              <w:rPr>
                <w:rStyle w:val="A4"/>
              </w:rPr>
              <w:t>AT estimation</w:t>
            </w:r>
            <w:r w:rsidR="00620A6D">
              <w:rPr>
                <w:rStyle w:val="A4"/>
              </w:rPr>
              <w:t xml:space="preserve"> procedure which eliminates data below IAT and above </w:t>
            </w:r>
            <w:proofErr w:type="gramStart"/>
            <w:r w:rsidR="00620A6D">
              <w:rPr>
                <w:rStyle w:val="A4"/>
              </w:rPr>
              <w:t>RCT</w:t>
            </w:r>
            <w:proofErr w:type="gramEnd"/>
            <w:r w:rsidR="006A7862">
              <w:rPr>
                <w:rStyle w:val="A4"/>
              </w:rPr>
              <w:t xml:space="preserve"> but </w:t>
            </w:r>
            <w:r w:rsidR="00BE1318">
              <w:rPr>
                <w:rStyle w:val="A4"/>
              </w:rPr>
              <w:t xml:space="preserve">which </w:t>
            </w:r>
            <w:r w:rsidR="000C1944">
              <w:rPr>
                <w:rStyle w:val="A4"/>
              </w:rPr>
              <w:t xml:space="preserve">can </w:t>
            </w:r>
            <w:r w:rsidR="006A7862">
              <w:rPr>
                <w:rStyle w:val="A4"/>
              </w:rPr>
              <w:t xml:space="preserve">still make use of a biphasic visual aid. </w:t>
            </w:r>
          </w:p>
          <w:p w14:paraId="6C68AC98" w14:textId="1A549E08" w:rsidR="006D4713" w:rsidRPr="00000404" w:rsidRDefault="006D4713" w:rsidP="009C1987">
            <w:pPr>
              <w:pStyle w:val="Pa12"/>
              <w:rPr>
                <w:rStyle w:val="A4"/>
                <w:color w:val="auto"/>
              </w:rPr>
            </w:pPr>
          </w:p>
          <w:p w14:paraId="6C68AC99" w14:textId="0AAE943E" w:rsidR="006D4713" w:rsidRPr="0050053A" w:rsidRDefault="006D4713" w:rsidP="009C1987">
            <w:pPr>
              <w:pStyle w:val="Pa12"/>
              <w:rPr>
                <w:rStyle w:val="A4"/>
              </w:rPr>
            </w:pPr>
            <w:r w:rsidRPr="0050053A">
              <w:rPr>
                <w:rStyle w:val="A4"/>
                <w:b/>
                <w:bCs/>
              </w:rPr>
              <w:t>Key Words</w:t>
            </w:r>
            <w:r w:rsidRPr="0050053A">
              <w:rPr>
                <w:rStyle w:val="A4"/>
                <w:b/>
              </w:rPr>
              <w:t>:</w:t>
            </w:r>
            <w:r w:rsidRPr="0050053A">
              <w:rPr>
                <w:rStyle w:val="A4"/>
              </w:rPr>
              <w:t xml:space="preserve"> </w:t>
            </w:r>
            <w:r w:rsidR="00000404">
              <w:rPr>
                <w:rStyle w:val="A4"/>
              </w:rPr>
              <w:t>CPET, anaerobic threshold</w:t>
            </w:r>
            <w:r w:rsidR="006A7862">
              <w:rPr>
                <w:rStyle w:val="A4"/>
              </w:rPr>
              <w:t xml:space="preserve"> estimation</w:t>
            </w:r>
            <w:r w:rsidR="00000404">
              <w:rPr>
                <w:rStyle w:val="A4"/>
              </w:rPr>
              <w:t>,</w:t>
            </w:r>
            <w:r w:rsidR="006A7862">
              <w:rPr>
                <w:rStyle w:val="A4"/>
              </w:rPr>
              <w:t xml:space="preserve"> initial adaptive threshold, respiratory compensation threshold</w:t>
            </w:r>
          </w:p>
          <w:p w14:paraId="6C68AC9B" w14:textId="05CB1A33" w:rsidR="006D4713" w:rsidRPr="0050053A" w:rsidRDefault="00C91C8C" w:rsidP="00F81101">
            <w:pPr>
              <w:pStyle w:val="Default"/>
              <w:rPr>
                <w:rStyle w:val="A4"/>
                <w:bCs/>
              </w:rPr>
            </w:pPr>
            <w:r>
              <w:rPr>
                <w:sz w:val="22"/>
                <w:szCs w:val="22"/>
              </w:rPr>
              <w:br/>
            </w:r>
          </w:p>
          <w:p w14:paraId="6C68AC9D" w14:textId="1609436E" w:rsidR="006D4713" w:rsidRPr="00DC0EBE" w:rsidRDefault="006D4713" w:rsidP="009C1987">
            <w:pPr>
              <w:pStyle w:val="Pa12"/>
              <w:rPr>
                <w:b/>
                <w:bCs/>
                <w:color w:val="000000"/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  <w:r w:rsidR="00000404">
              <w:rPr>
                <w:rStyle w:val="A4"/>
                <w:b/>
                <w:bCs/>
              </w:rPr>
              <w:t>NA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6C68AC9E" w14:textId="77777777" w:rsidR="006D4713" w:rsidRDefault="006D4713" w:rsidP="009C1987">
            <w:pPr>
              <w:pStyle w:val="Default"/>
            </w:pPr>
          </w:p>
          <w:p w14:paraId="6C68AC9F" w14:textId="77777777" w:rsidR="006D4713" w:rsidRPr="003E35F0" w:rsidRDefault="006D4713" w:rsidP="009C1987">
            <w:pPr>
              <w:pStyle w:val="Default"/>
            </w:pPr>
          </w:p>
          <w:p w14:paraId="6C68ACA0" w14:textId="77777777" w:rsidR="006D4713" w:rsidRPr="0050053A" w:rsidRDefault="006D4713" w:rsidP="009C1987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6C68ACA1" w14:textId="77777777" w:rsidR="006D4713" w:rsidRPr="0050053A" w:rsidRDefault="006D4713" w:rsidP="009C1987">
            <w:pPr>
              <w:pStyle w:val="Default"/>
              <w:rPr>
                <w:rStyle w:val="A4"/>
                <w:bCs/>
              </w:rPr>
            </w:pPr>
          </w:p>
          <w:p w14:paraId="6C68ACA2" w14:textId="77777777" w:rsidR="006D4713" w:rsidRPr="0050053A" w:rsidRDefault="006D4713" w:rsidP="009C1987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0FEB58A2" w14:textId="77777777" w:rsidR="009656B9" w:rsidRDefault="009656B9" w:rsidP="00487EC0">
      <w:pPr>
        <w:ind w:left="720"/>
        <w:rPr>
          <w:rFonts w:ascii="Arial" w:hAnsi="Arial" w:cs="Arial"/>
          <w:highlight w:val="lightGray"/>
        </w:rPr>
      </w:pPr>
    </w:p>
    <w:p w14:paraId="5EFEED0F" w14:textId="77777777" w:rsidR="00356E4E" w:rsidRDefault="00356E4E"/>
    <w:p w14:paraId="6C68ACA4" w14:textId="7C5C44F7" w:rsidR="00EE3EA8" w:rsidRDefault="00EE3EA8"/>
    <w:sectPr w:rsidR="00EE3EA8" w:rsidSect="0060077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NLM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zvx9est7w5rsyewvr5vzzezwwavwrz2zfdp&quot;&gt;SGsEndNoteLibrary_August2023&lt;record-ids&gt;&lt;item&gt;4667&lt;/item&gt;&lt;item&gt;4821&lt;/item&gt;&lt;/record-ids&gt;&lt;/item&gt;&lt;/Libraries&gt;"/>
  </w:docVars>
  <w:rsids>
    <w:rsidRoot w:val="006D4713"/>
    <w:rsid w:val="00000404"/>
    <w:rsid w:val="00015A3D"/>
    <w:rsid w:val="00083DC5"/>
    <w:rsid w:val="000C1944"/>
    <w:rsid w:val="000E3880"/>
    <w:rsid w:val="001047DC"/>
    <w:rsid w:val="00116EC5"/>
    <w:rsid w:val="00193F22"/>
    <w:rsid w:val="00194926"/>
    <w:rsid w:val="001A7EEB"/>
    <w:rsid w:val="001B47DF"/>
    <w:rsid w:val="00211F08"/>
    <w:rsid w:val="002268E6"/>
    <w:rsid w:val="00292E46"/>
    <w:rsid w:val="002B4988"/>
    <w:rsid w:val="00323005"/>
    <w:rsid w:val="00324F65"/>
    <w:rsid w:val="00356E4E"/>
    <w:rsid w:val="00361F7E"/>
    <w:rsid w:val="003C42E0"/>
    <w:rsid w:val="003E6D93"/>
    <w:rsid w:val="003F0690"/>
    <w:rsid w:val="003F0F1A"/>
    <w:rsid w:val="00411089"/>
    <w:rsid w:val="0045311E"/>
    <w:rsid w:val="0047173F"/>
    <w:rsid w:val="00487EC0"/>
    <w:rsid w:val="004B085B"/>
    <w:rsid w:val="004D3413"/>
    <w:rsid w:val="00505410"/>
    <w:rsid w:val="0051479A"/>
    <w:rsid w:val="00540C6B"/>
    <w:rsid w:val="00597B8F"/>
    <w:rsid w:val="005B3C80"/>
    <w:rsid w:val="005E0F4F"/>
    <w:rsid w:val="00600772"/>
    <w:rsid w:val="00620A6D"/>
    <w:rsid w:val="006259E5"/>
    <w:rsid w:val="00640404"/>
    <w:rsid w:val="00642FE6"/>
    <w:rsid w:val="006438E9"/>
    <w:rsid w:val="006A7862"/>
    <w:rsid w:val="006D3870"/>
    <w:rsid w:val="006D4713"/>
    <w:rsid w:val="006D56DB"/>
    <w:rsid w:val="006E7F02"/>
    <w:rsid w:val="006F17DD"/>
    <w:rsid w:val="006F5192"/>
    <w:rsid w:val="00722B22"/>
    <w:rsid w:val="00752808"/>
    <w:rsid w:val="0075527E"/>
    <w:rsid w:val="00776161"/>
    <w:rsid w:val="007C1C14"/>
    <w:rsid w:val="0081166A"/>
    <w:rsid w:val="008718F5"/>
    <w:rsid w:val="008A7C53"/>
    <w:rsid w:val="008C1D32"/>
    <w:rsid w:val="008C753A"/>
    <w:rsid w:val="008E01F1"/>
    <w:rsid w:val="008F49BC"/>
    <w:rsid w:val="008F63FF"/>
    <w:rsid w:val="009058EC"/>
    <w:rsid w:val="009567B5"/>
    <w:rsid w:val="009656B9"/>
    <w:rsid w:val="00992F0A"/>
    <w:rsid w:val="009E201D"/>
    <w:rsid w:val="00A155F5"/>
    <w:rsid w:val="00B033AA"/>
    <w:rsid w:val="00B13780"/>
    <w:rsid w:val="00BA1460"/>
    <w:rsid w:val="00BD2F47"/>
    <w:rsid w:val="00BE1318"/>
    <w:rsid w:val="00C14448"/>
    <w:rsid w:val="00C32B9C"/>
    <w:rsid w:val="00C4053B"/>
    <w:rsid w:val="00C5429C"/>
    <w:rsid w:val="00C91C8C"/>
    <w:rsid w:val="00C9394B"/>
    <w:rsid w:val="00CA0E47"/>
    <w:rsid w:val="00CE6BC2"/>
    <w:rsid w:val="00D026E6"/>
    <w:rsid w:val="00D02B65"/>
    <w:rsid w:val="00D109CA"/>
    <w:rsid w:val="00D33C51"/>
    <w:rsid w:val="00DC0EBE"/>
    <w:rsid w:val="00DD1CE1"/>
    <w:rsid w:val="00DD1FBA"/>
    <w:rsid w:val="00DE2446"/>
    <w:rsid w:val="00E01AD0"/>
    <w:rsid w:val="00E0694E"/>
    <w:rsid w:val="00E142E5"/>
    <w:rsid w:val="00E36BF2"/>
    <w:rsid w:val="00E371AF"/>
    <w:rsid w:val="00E6476A"/>
    <w:rsid w:val="00ED333C"/>
    <w:rsid w:val="00EE3EA8"/>
    <w:rsid w:val="00EF2467"/>
    <w:rsid w:val="00F30E80"/>
    <w:rsid w:val="00F67D54"/>
    <w:rsid w:val="00F81101"/>
    <w:rsid w:val="00F85C92"/>
    <w:rsid w:val="00FE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8AC7F"/>
  <w15:docId w15:val="{88FE7ED1-9FFF-479E-AC81-1F38E9E8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rsid w:val="006D47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6D4713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link w:val="Pa12Char"/>
    <w:uiPriority w:val="99"/>
    <w:rsid w:val="006D4713"/>
    <w:pPr>
      <w:spacing w:line="241" w:lineRule="atLeast"/>
    </w:pPr>
    <w:rPr>
      <w:color w:val="auto"/>
    </w:rPr>
  </w:style>
  <w:style w:type="paragraph" w:customStyle="1" w:styleId="EndNoteBibliographyTitle">
    <w:name w:val="EndNote Bibliography Title"/>
    <w:basedOn w:val="Normal"/>
    <w:link w:val="EndNoteBibliographyTitleChar"/>
    <w:rsid w:val="00356E4E"/>
    <w:pPr>
      <w:jc w:val="center"/>
    </w:pPr>
    <w:rPr>
      <w:noProof/>
      <w:lang w:val="en-US"/>
    </w:rPr>
  </w:style>
  <w:style w:type="character" w:customStyle="1" w:styleId="DefaultChar">
    <w:name w:val="Default Char"/>
    <w:basedOn w:val="DefaultParagraphFont"/>
    <w:link w:val="Default"/>
    <w:rsid w:val="00356E4E"/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Pa12Char">
    <w:name w:val="Pa12 Char"/>
    <w:basedOn w:val="DefaultChar"/>
    <w:link w:val="Pa12"/>
    <w:uiPriority w:val="99"/>
    <w:rsid w:val="00356E4E"/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EndNoteBibliographyTitleChar">
    <w:name w:val="EndNote Bibliography Title Char"/>
    <w:basedOn w:val="Pa12Char"/>
    <w:link w:val="EndNoteBibliographyTitle"/>
    <w:rsid w:val="00356E4E"/>
    <w:rPr>
      <w:rFonts w:ascii="Times New Roman" w:eastAsia="Times New Roman" w:hAnsi="Times New Roman" w:cs="Times New Roman"/>
      <w:noProof/>
      <w:color w:val="000000"/>
      <w:sz w:val="24"/>
      <w:szCs w:val="24"/>
      <w:lang w:val="en-US" w:eastAsia="en-NZ"/>
    </w:rPr>
  </w:style>
  <w:style w:type="paragraph" w:customStyle="1" w:styleId="EndNoteBibliography">
    <w:name w:val="EndNote Bibliography"/>
    <w:basedOn w:val="Normal"/>
    <w:link w:val="EndNoteBibliographyChar"/>
    <w:rsid w:val="00356E4E"/>
    <w:rPr>
      <w:noProof/>
      <w:lang w:val="en-US"/>
    </w:rPr>
  </w:style>
  <w:style w:type="character" w:customStyle="1" w:styleId="EndNoteBibliographyChar">
    <w:name w:val="EndNote Bibliography Char"/>
    <w:basedOn w:val="Pa12Char"/>
    <w:link w:val="EndNoteBibliography"/>
    <w:rsid w:val="00356E4E"/>
    <w:rPr>
      <w:rFonts w:ascii="Times New Roman" w:eastAsia="Times New Roman" w:hAnsi="Times New Roman" w:cs="Times New Roman"/>
      <w:noProof/>
      <w:color w:val="000000"/>
      <w:sz w:val="24"/>
      <w:szCs w:val="24"/>
      <w:lang w:val="en-US" w:eastAsia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3C42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2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2E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2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2E0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6" ma:contentTypeDescription="Create a new document." ma:contentTypeScope="" ma:versionID="e2b445427de7fdc952c105e35286659b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37c8f8b798b54af2a8e7107b543b3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BD194-A1E0-4107-8F2F-F5DDCC7D135A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8810A034-3CE3-4046-9BD9-8F5BBDBD32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5F824C-5088-42B0-A666-662E8AB08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onsite6</dc:creator>
  <cp:lastModifiedBy>Simon Green</cp:lastModifiedBy>
  <cp:revision>5</cp:revision>
  <dcterms:created xsi:type="dcterms:W3CDTF">2023-10-11T04:35:00Z</dcterms:created>
  <dcterms:modified xsi:type="dcterms:W3CDTF">2023-10-11T05:00:00Z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