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6580" w14:textId="77777777" w:rsidR="00760741" w:rsidRDefault="00760741"/>
    <w:tbl>
      <w:tblPr>
        <w:tblStyle w:val="a0"/>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760741" w14:paraId="610176B3" w14:textId="77777777">
        <w:tc>
          <w:tcPr>
            <w:tcW w:w="8640" w:type="dxa"/>
            <w:shd w:val="clear" w:color="auto" w:fill="F2F2F2"/>
          </w:tcPr>
          <w:p w14:paraId="6C628EBF" w14:textId="0C77A031" w:rsidR="00760741" w:rsidRPr="00BE5314" w:rsidRDefault="00BE5314">
            <w:pPr>
              <w:jc w:val="both"/>
              <w:rPr>
                <w:rFonts w:ascii="Arial" w:eastAsia="Arial" w:hAnsi="Arial" w:cs="Arial"/>
                <w:bCs/>
                <w:i/>
                <w:iCs/>
                <w:sz w:val="22"/>
                <w:szCs w:val="22"/>
              </w:rPr>
            </w:pPr>
            <w:r w:rsidRPr="00BE5314">
              <w:rPr>
                <w:rFonts w:ascii="Arial" w:eastAsia="Arial" w:hAnsi="Arial" w:cs="Arial"/>
                <w:bCs/>
                <w:i/>
                <w:iCs/>
                <w:sz w:val="22"/>
                <w:szCs w:val="22"/>
              </w:rPr>
              <w:t>Wānanga/Talanoa/Dialogue or Workshop</w:t>
            </w:r>
          </w:p>
          <w:p w14:paraId="1C0B258F" w14:textId="77777777" w:rsidR="00760741" w:rsidRDefault="00AB2EEA">
            <w:pPr>
              <w:jc w:val="both"/>
              <w:rPr>
                <w:rFonts w:ascii="Arial" w:eastAsia="Arial" w:hAnsi="Arial" w:cs="Arial"/>
                <w:b/>
                <w:sz w:val="22"/>
                <w:szCs w:val="22"/>
              </w:rPr>
            </w:pPr>
            <w:r>
              <w:rPr>
                <w:rFonts w:ascii="Arial" w:eastAsia="Arial" w:hAnsi="Arial" w:cs="Arial"/>
                <w:b/>
                <w:sz w:val="22"/>
                <w:szCs w:val="22"/>
              </w:rPr>
              <w:t>Collaborative climate adaptation: An interactive role-play simulation workshop</w:t>
            </w:r>
          </w:p>
          <w:p w14:paraId="72AC8F46" w14:textId="77777777" w:rsidR="00760741" w:rsidRDefault="00760741">
            <w:pPr>
              <w:jc w:val="both"/>
              <w:rPr>
                <w:rFonts w:ascii="Arial" w:eastAsia="Arial" w:hAnsi="Arial" w:cs="Arial"/>
                <w:sz w:val="22"/>
                <w:szCs w:val="22"/>
              </w:rPr>
            </w:pPr>
          </w:p>
        </w:tc>
      </w:tr>
      <w:tr w:rsidR="00760741" w14:paraId="0454B6B2" w14:textId="77777777">
        <w:trPr>
          <w:trHeight w:val="1511"/>
        </w:trPr>
        <w:tc>
          <w:tcPr>
            <w:tcW w:w="8640" w:type="dxa"/>
          </w:tcPr>
          <w:p w14:paraId="53DE5F30" w14:textId="77777777" w:rsidR="00760741" w:rsidRDefault="00760741">
            <w:pPr>
              <w:jc w:val="both"/>
              <w:rPr>
                <w:rFonts w:ascii="Arial" w:eastAsia="Arial" w:hAnsi="Arial" w:cs="Arial"/>
                <w:sz w:val="22"/>
                <w:szCs w:val="22"/>
              </w:rPr>
            </w:pPr>
          </w:p>
          <w:p w14:paraId="14F695D9" w14:textId="77777777" w:rsidR="00760741" w:rsidRDefault="00AB2EEA">
            <w:pPr>
              <w:jc w:val="both"/>
              <w:rPr>
                <w:rFonts w:ascii="Arial" w:eastAsia="Arial" w:hAnsi="Arial" w:cs="Arial"/>
                <w:b/>
                <w:sz w:val="22"/>
                <w:szCs w:val="22"/>
              </w:rPr>
            </w:pPr>
            <w:r>
              <w:rPr>
                <w:rFonts w:ascii="Arial" w:eastAsia="Arial" w:hAnsi="Arial" w:cs="Arial"/>
                <w:b/>
                <w:sz w:val="22"/>
                <w:szCs w:val="22"/>
              </w:rPr>
              <w:t>1. Introduction</w:t>
            </w:r>
          </w:p>
          <w:p w14:paraId="52DF5E67" w14:textId="77777777" w:rsidR="00760741" w:rsidRDefault="00AB2EEA">
            <w:pPr>
              <w:jc w:val="both"/>
              <w:rPr>
                <w:rFonts w:ascii="Arial" w:eastAsia="Arial" w:hAnsi="Arial" w:cs="Arial"/>
                <w:sz w:val="22"/>
                <w:szCs w:val="22"/>
              </w:rPr>
            </w:pPr>
            <w:r>
              <w:rPr>
                <w:rFonts w:ascii="Arial" w:eastAsia="Arial" w:hAnsi="Arial" w:cs="Arial"/>
                <w:sz w:val="22"/>
                <w:szCs w:val="22"/>
              </w:rPr>
              <w:t>Climate change adaptation is a multifaceted challenge involving multiple stakeholders with diverse priorities and varying levels of knowledge. Effective adaptation strategies therefore require cross-sectoral collaboration and robust consensus-building mechanisms. This proposed co-creation session—structured as a highly interactive, role-play simulation workshop—offers participants a guided, hands-on experience in negotiating and implementing adaptation measures. By modeling real-world complexities such as s</w:t>
            </w:r>
            <w:r>
              <w:rPr>
                <w:rFonts w:ascii="Arial" w:eastAsia="Arial" w:hAnsi="Arial" w:cs="Arial"/>
                <w:sz w:val="22"/>
                <w:szCs w:val="22"/>
              </w:rPr>
              <w:t>ectoral interdependencies, communication challenges, and trade-offs over different temporal and spatial scales, the session aims to enable participants to co-create strategies that are resilient, equitable, and grounded in interdisciplinary insights.</w:t>
            </w:r>
          </w:p>
          <w:p w14:paraId="5E357493" w14:textId="77777777" w:rsidR="00760741" w:rsidRDefault="00760741">
            <w:pPr>
              <w:jc w:val="both"/>
              <w:rPr>
                <w:rFonts w:ascii="Arial" w:eastAsia="Arial" w:hAnsi="Arial" w:cs="Arial"/>
                <w:sz w:val="22"/>
                <w:szCs w:val="22"/>
              </w:rPr>
            </w:pPr>
          </w:p>
          <w:p w14:paraId="43C61F77" w14:textId="77777777" w:rsidR="00760741" w:rsidRDefault="00AB2EEA">
            <w:pPr>
              <w:jc w:val="both"/>
              <w:rPr>
                <w:rFonts w:ascii="Arial" w:eastAsia="Arial" w:hAnsi="Arial" w:cs="Arial"/>
                <w:b/>
                <w:sz w:val="22"/>
                <w:szCs w:val="22"/>
              </w:rPr>
            </w:pPr>
            <w:r>
              <w:rPr>
                <w:rFonts w:ascii="Arial" w:eastAsia="Arial" w:hAnsi="Arial" w:cs="Arial"/>
                <w:b/>
                <w:sz w:val="22"/>
                <w:szCs w:val="22"/>
              </w:rPr>
              <w:t>2. Aims and Rationale</w:t>
            </w:r>
          </w:p>
          <w:p w14:paraId="22B1FFEF" w14:textId="77777777" w:rsidR="00760741" w:rsidRDefault="00AB2EEA">
            <w:pPr>
              <w:numPr>
                <w:ilvl w:val="0"/>
                <w:numId w:val="8"/>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Awareness and Cognitive Support</w:t>
            </w:r>
            <w:r>
              <w:rPr>
                <w:rFonts w:ascii="Arial" w:eastAsia="Arial" w:hAnsi="Arial" w:cs="Arial"/>
                <w:sz w:val="22"/>
                <w:szCs w:val="22"/>
              </w:rPr>
              <w:t>: To help participants recognize the multifaceted synergies and trade-offs inherent in climate change adaptation. These include short- and long-term perspectives, spatial dimensions (e.g., upstream vs. downstream river management), and multiple societal objectives such as disaster risk reduction, agricultural productivity, and environmental conservation. By simulating decision-making under different conditions, the session aims to highlight the importance of interdepartmental communication and coordination.</w:t>
            </w:r>
          </w:p>
          <w:p w14:paraId="21B4364A" w14:textId="77777777" w:rsidR="00760741" w:rsidRDefault="00AB2EEA">
            <w:pPr>
              <w:numPr>
                <w:ilvl w:val="0"/>
                <w:numId w:val="8"/>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Practical Decision Support</w:t>
            </w:r>
            <w:r>
              <w:rPr>
                <w:rFonts w:ascii="Arial" w:eastAsia="Arial" w:hAnsi="Arial" w:cs="Arial"/>
                <w:sz w:val="22"/>
                <w:szCs w:val="22"/>
              </w:rPr>
              <w:t>: To guide participants in constructing holistic adaptation pathways. Over the course of (multiple rounds of) decision-making—amid uncertain climate projections—participants will learn to adjust strategies, weigh outcomes, and respond dynamically to new information. Through exposure to different scenario outcomes, they will gain insights into balancing competing objectives and adopting robust, flexible approaches.</w:t>
            </w:r>
          </w:p>
          <w:p w14:paraId="19936CC8" w14:textId="77777777" w:rsidR="00760741" w:rsidRDefault="00AB2EEA">
            <w:pPr>
              <w:numPr>
                <w:ilvl w:val="0"/>
                <w:numId w:val="8"/>
              </w:numPr>
              <w:pBdr>
                <w:top w:val="nil"/>
                <w:left w:val="nil"/>
                <w:bottom w:val="nil"/>
                <w:right w:val="nil"/>
                <w:between w:val="nil"/>
              </w:pBdr>
              <w:spacing w:after="160" w:line="259" w:lineRule="auto"/>
              <w:jc w:val="both"/>
              <w:rPr>
                <w:rFonts w:ascii="Arial" w:eastAsia="Arial" w:hAnsi="Arial" w:cs="Arial"/>
                <w:sz w:val="22"/>
                <w:szCs w:val="22"/>
              </w:rPr>
            </w:pPr>
            <w:r>
              <w:rPr>
                <w:rFonts w:ascii="Arial" w:eastAsia="Arial" w:hAnsi="Arial" w:cs="Arial"/>
                <w:b/>
                <w:sz w:val="22"/>
                <w:szCs w:val="22"/>
              </w:rPr>
              <w:t>Behavior and Interaction Analysis</w:t>
            </w:r>
            <w:r>
              <w:rPr>
                <w:rFonts w:ascii="Arial" w:eastAsia="Arial" w:hAnsi="Arial" w:cs="Arial"/>
                <w:sz w:val="22"/>
                <w:szCs w:val="22"/>
              </w:rPr>
              <w:t xml:space="preserve">: By capturing both quantitative (e.g., simulator output and on-screen interactions) and qualitative (e.g., verbal discussions and negotiation processes) data, the workshop aims to investigate how different forms of collaboration lead to more effective decisions. Participants’ interactions will be examined </w:t>
            </w:r>
            <w:proofErr w:type="gramStart"/>
            <w:r>
              <w:rPr>
                <w:rFonts w:ascii="Arial" w:eastAsia="Arial" w:hAnsi="Arial" w:cs="Arial"/>
                <w:sz w:val="22"/>
                <w:szCs w:val="22"/>
              </w:rPr>
              <w:t>in light of</w:t>
            </w:r>
            <w:proofErr w:type="gramEnd"/>
            <w:r>
              <w:rPr>
                <w:rFonts w:ascii="Arial" w:eastAsia="Arial" w:hAnsi="Arial" w:cs="Arial"/>
                <w:sz w:val="22"/>
                <w:szCs w:val="22"/>
              </w:rPr>
              <w:t xml:space="preserve"> game-theoretic concepts (e.g., Nash equilibrium in non-cooperative settings, core solutions in cooperative contexts) to explore whether and how real-world stakeholder dynamics align with theor</w:t>
            </w:r>
            <w:r>
              <w:rPr>
                <w:rFonts w:ascii="Arial" w:eastAsia="Arial" w:hAnsi="Arial" w:cs="Arial"/>
                <w:sz w:val="22"/>
                <w:szCs w:val="22"/>
              </w:rPr>
              <w:t>etical predictions.</w:t>
            </w:r>
          </w:p>
          <w:p w14:paraId="47C0FB77" w14:textId="77777777" w:rsidR="00760741" w:rsidRDefault="00AB2EEA">
            <w:pPr>
              <w:jc w:val="both"/>
              <w:rPr>
                <w:rFonts w:ascii="Arial" w:eastAsia="Arial" w:hAnsi="Arial" w:cs="Arial"/>
                <w:sz w:val="22"/>
                <w:szCs w:val="22"/>
              </w:rPr>
            </w:pPr>
            <w:r>
              <w:rPr>
                <w:rFonts w:ascii="Arial" w:eastAsia="Arial" w:hAnsi="Arial" w:cs="Arial"/>
                <w:sz w:val="22"/>
                <w:szCs w:val="22"/>
              </w:rPr>
              <w:t>These aims are underpinned by a recognition that climate adaptation demands flexible, integrative methods that transcend disciplinary and jurisdictional silos. By providing an environment for experiential learning and co-creation, the workshop offers a robust rationale for engaging policymakers, researchers, and civil society representatives in tackling climate change challenges collectively.</w:t>
            </w:r>
          </w:p>
          <w:p w14:paraId="517BD0A8" w14:textId="77777777" w:rsidR="00760741" w:rsidRDefault="00760741">
            <w:pPr>
              <w:jc w:val="both"/>
              <w:rPr>
                <w:rFonts w:ascii="Arial" w:eastAsia="Arial" w:hAnsi="Arial" w:cs="Arial"/>
                <w:sz w:val="22"/>
                <w:szCs w:val="22"/>
              </w:rPr>
            </w:pPr>
          </w:p>
          <w:p w14:paraId="1600A15D" w14:textId="77777777" w:rsidR="00760741" w:rsidRDefault="00AB2EEA">
            <w:pPr>
              <w:jc w:val="both"/>
              <w:rPr>
                <w:rFonts w:ascii="Arial" w:eastAsia="Arial" w:hAnsi="Arial" w:cs="Arial"/>
                <w:b/>
                <w:sz w:val="22"/>
                <w:szCs w:val="22"/>
              </w:rPr>
            </w:pPr>
            <w:r>
              <w:rPr>
                <w:rFonts w:ascii="Arial" w:eastAsia="Arial" w:hAnsi="Arial" w:cs="Arial"/>
                <w:b/>
                <w:sz w:val="22"/>
                <w:szCs w:val="22"/>
              </w:rPr>
              <w:t>3. Format and Methods Used for Co-creation</w:t>
            </w:r>
          </w:p>
          <w:p w14:paraId="313B2894" w14:textId="77777777" w:rsidR="00760741" w:rsidRDefault="00AB2EEA">
            <w:pPr>
              <w:jc w:val="both"/>
              <w:rPr>
                <w:rFonts w:ascii="Arial" w:eastAsia="Arial" w:hAnsi="Arial" w:cs="Arial"/>
                <w:sz w:val="22"/>
                <w:szCs w:val="22"/>
              </w:rPr>
            </w:pPr>
            <w:r>
              <w:rPr>
                <w:rFonts w:ascii="Arial" w:eastAsia="Arial" w:hAnsi="Arial" w:cs="Arial"/>
                <w:sz w:val="22"/>
                <w:szCs w:val="22"/>
              </w:rPr>
              <w:t xml:space="preserve">Participants are grouped into teams (e.g., four to six members per group), each representing a different departmental or stakeholder perspective—such as water resource management in the upstream or downstream area, agriculture, disaster risk </w:t>
            </w:r>
            <w:r>
              <w:rPr>
                <w:rFonts w:ascii="Arial" w:eastAsia="Arial" w:hAnsi="Arial" w:cs="Arial"/>
                <w:sz w:val="22"/>
                <w:szCs w:val="22"/>
              </w:rPr>
              <w:lastRenderedPageBreak/>
              <w:t>reduction, or environmental conservation. Within each team, individual participants receive specific roles and objectives, reflecting the unique goals and constraints of a real-world agency. These might include minimizing flood risks, maximizing agricultural output, or maintaining ecosystems. By engaging in this role-play, participants experience the complexities of interdepartmental coordination firsthand and witness how negotiation and information-sharing shape outcomes.</w:t>
            </w:r>
          </w:p>
          <w:p w14:paraId="45908DA8" w14:textId="77777777" w:rsidR="00760741" w:rsidRDefault="00760741">
            <w:pPr>
              <w:jc w:val="both"/>
              <w:rPr>
                <w:rFonts w:ascii="Arial" w:eastAsia="Arial" w:hAnsi="Arial" w:cs="Arial"/>
                <w:sz w:val="22"/>
                <w:szCs w:val="22"/>
              </w:rPr>
            </w:pPr>
          </w:p>
          <w:p w14:paraId="55974258" w14:textId="19CAECF1" w:rsidR="00760741" w:rsidRDefault="00AB2EEA">
            <w:pPr>
              <w:numPr>
                <w:ilvl w:val="0"/>
                <w:numId w:val="7"/>
              </w:numPr>
              <w:pBdr>
                <w:top w:val="nil"/>
                <w:left w:val="nil"/>
                <w:bottom w:val="nil"/>
                <w:right w:val="nil"/>
                <w:between w:val="nil"/>
              </w:pBdr>
              <w:spacing w:line="259" w:lineRule="auto"/>
              <w:jc w:val="both"/>
              <w:rPr>
                <w:rFonts w:ascii="Arial" w:eastAsia="Arial" w:hAnsi="Arial" w:cs="Arial"/>
                <w:b/>
                <w:sz w:val="22"/>
                <w:szCs w:val="22"/>
              </w:rPr>
            </w:pPr>
            <w:r>
              <w:rPr>
                <w:rFonts w:ascii="Arial" w:eastAsia="Arial" w:hAnsi="Arial" w:cs="Arial"/>
                <w:b/>
                <w:sz w:val="22"/>
                <w:szCs w:val="22"/>
              </w:rPr>
              <w:t>Introduction</w:t>
            </w:r>
          </w:p>
          <w:p w14:paraId="26D8FB6B" w14:textId="77777777" w:rsidR="00760741" w:rsidRDefault="00AB2EEA">
            <w:pPr>
              <w:numPr>
                <w:ilvl w:val="0"/>
                <w:numId w:val="9"/>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Contextual Briefing: The workshop begins with a concise introduction to the target region, the climate challenges it faces (e.g., flooding and inundation), and the stakes for each stakeholder group.</w:t>
            </w:r>
          </w:p>
          <w:p w14:paraId="6D31FC5A" w14:textId="77777777" w:rsidR="00760741" w:rsidRDefault="00AB2EEA">
            <w:pPr>
              <w:numPr>
                <w:ilvl w:val="0"/>
                <w:numId w:val="9"/>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Simulator and User Interface (UI) Guidance: An overview of the simulation platform and its user interface is provided. Participants learn how to adjust parameters, evaluate scenarios, and interpret real-time modeling output.</w:t>
            </w:r>
          </w:p>
          <w:p w14:paraId="31AB09A6" w14:textId="5F0813EE" w:rsidR="00760741" w:rsidRDefault="00AB2EEA">
            <w:pPr>
              <w:numPr>
                <w:ilvl w:val="0"/>
                <w:numId w:val="7"/>
              </w:numPr>
              <w:pBdr>
                <w:top w:val="nil"/>
                <w:left w:val="nil"/>
                <w:bottom w:val="nil"/>
                <w:right w:val="nil"/>
                <w:between w:val="nil"/>
              </w:pBdr>
              <w:spacing w:line="259" w:lineRule="auto"/>
              <w:jc w:val="both"/>
              <w:rPr>
                <w:rFonts w:ascii="Arial" w:eastAsia="Arial" w:hAnsi="Arial" w:cs="Arial"/>
                <w:b/>
                <w:sz w:val="22"/>
                <w:szCs w:val="22"/>
              </w:rPr>
            </w:pPr>
            <w:r>
              <w:rPr>
                <w:rFonts w:ascii="Arial" w:eastAsia="Arial" w:hAnsi="Arial" w:cs="Arial"/>
                <w:b/>
                <w:sz w:val="22"/>
                <w:szCs w:val="22"/>
              </w:rPr>
              <w:t>Pre-session Questionnaire</w:t>
            </w:r>
          </w:p>
          <w:p w14:paraId="099DF003" w14:textId="77777777" w:rsidR="00760741" w:rsidRDefault="00AB2EEA">
            <w:pPr>
              <w:numPr>
                <w:ilvl w:val="0"/>
                <w:numId w:val="2"/>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Before the simulation, participants complete a short questionnaire to capture baseline data about their familiarity with climate change adaptation, their risk preferences (e.g., whether they gravitate toward minimax strategies), and their demographic backgrounds. This information supports post-workshop analysis by allowing facilitators to investigate correlations between participants’ attributes and decision-making patterns.</w:t>
            </w:r>
          </w:p>
          <w:p w14:paraId="0B0D5A3E" w14:textId="52EE449C" w:rsidR="00760741" w:rsidRDefault="00AB2EEA">
            <w:pPr>
              <w:numPr>
                <w:ilvl w:val="0"/>
                <w:numId w:val="7"/>
              </w:numPr>
              <w:pBdr>
                <w:top w:val="nil"/>
                <w:left w:val="nil"/>
                <w:bottom w:val="nil"/>
                <w:right w:val="nil"/>
                <w:between w:val="nil"/>
              </w:pBdr>
              <w:spacing w:line="259" w:lineRule="auto"/>
              <w:jc w:val="both"/>
              <w:rPr>
                <w:rFonts w:ascii="Arial" w:eastAsia="Arial" w:hAnsi="Arial" w:cs="Arial"/>
                <w:b/>
                <w:sz w:val="22"/>
                <w:szCs w:val="22"/>
              </w:rPr>
            </w:pPr>
            <w:r>
              <w:rPr>
                <w:rFonts w:ascii="Arial" w:eastAsia="Arial" w:hAnsi="Arial" w:cs="Arial"/>
                <w:b/>
                <w:sz w:val="22"/>
                <w:szCs w:val="22"/>
              </w:rPr>
              <w:t>Decision-making Rounds</w:t>
            </w:r>
          </w:p>
          <w:p w14:paraId="1A4BA403" w14:textId="77777777" w:rsidR="00760741" w:rsidRDefault="00AB2EEA">
            <w:pPr>
              <w:numPr>
                <w:ilvl w:val="0"/>
                <w:numId w:val="2"/>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Individual and Collaborative Modes: Each group carries out adaptation decisions under varying conditions. In some rounds, participants select policies independently, while in others they must reach a consensus through discussion. The UI settings (e.g., whether one can see other stakeholders’ priorities) change across rounds to simulate different levels of transparency and communication constraints.</w:t>
            </w:r>
          </w:p>
          <w:p w14:paraId="62DFD65D" w14:textId="77777777" w:rsidR="00760741" w:rsidRDefault="00AB2EEA">
            <w:pPr>
              <w:numPr>
                <w:ilvl w:val="0"/>
                <w:numId w:val="2"/>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Scenario Variations: Climate projections, uncertainty levels, and external factors (e.g., population growth, water demand) differ between rounds. Participants see how decisions made under one scenario can have lasting implications under alternative futures, learning to prepare for uncertainties.</w:t>
            </w:r>
          </w:p>
          <w:p w14:paraId="3CB67C44" w14:textId="607711AF" w:rsidR="00C15F34" w:rsidRPr="00C15F34" w:rsidRDefault="00AB2EEA" w:rsidP="00C15F34">
            <w:pPr>
              <w:numPr>
                <w:ilvl w:val="0"/>
                <w:numId w:val="7"/>
              </w:numPr>
              <w:pBdr>
                <w:top w:val="nil"/>
                <w:left w:val="nil"/>
                <w:bottom w:val="nil"/>
                <w:right w:val="nil"/>
                <w:between w:val="nil"/>
              </w:pBdr>
              <w:spacing w:line="259" w:lineRule="auto"/>
              <w:jc w:val="both"/>
              <w:rPr>
                <w:rFonts w:ascii="Arial" w:eastAsia="Arial" w:hAnsi="Arial" w:cs="Arial"/>
                <w:b/>
                <w:sz w:val="22"/>
                <w:szCs w:val="22"/>
              </w:rPr>
            </w:pPr>
            <w:r>
              <w:rPr>
                <w:rFonts w:ascii="Arial" w:eastAsia="Arial" w:hAnsi="Arial" w:cs="Arial"/>
                <w:b/>
                <w:sz w:val="22"/>
                <w:szCs w:val="22"/>
              </w:rPr>
              <w:t>Results and Discussion</w:t>
            </w:r>
          </w:p>
          <w:p w14:paraId="7B758B27" w14:textId="77777777" w:rsidR="00760741" w:rsidRDefault="00AB2EEA">
            <w:pPr>
              <w:numPr>
                <w:ilvl w:val="0"/>
                <w:numId w:val="3"/>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Real-time Feedback: After each decision-making round, the simulation presents outcome metrics such as agricultural yield, flood risk, ecological status, or cost-effectiveness. Visual dashboards (time-series plots, trade-off curves, vulnerability assessments) highlight cross-sectoral impacts and the influence of uncertainty parameters.</w:t>
            </w:r>
          </w:p>
          <w:p w14:paraId="676863A8" w14:textId="77777777" w:rsidR="00760741" w:rsidRDefault="00AB2EEA">
            <w:pPr>
              <w:numPr>
                <w:ilvl w:val="0"/>
                <w:numId w:val="3"/>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Comparative Reflection and Exploration: Teams compare their results to explore how variations in strategy, negotiation style, or information-sharing lead to different performance outcomes. Then they may change their decisions based on the visualized results.</w:t>
            </w:r>
          </w:p>
          <w:p w14:paraId="2AC4140D" w14:textId="5953324A" w:rsidR="00760741" w:rsidRDefault="00AB2EEA">
            <w:pPr>
              <w:numPr>
                <w:ilvl w:val="0"/>
                <w:numId w:val="7"/>
              </w:numPr>
              <w:pBdr>
                <w:top w:val="nil"/>
                <w:left w:val="nil"/>
                <w:bottom w:val="nil"/>
                <w:right w:val="nil"/>
                <w:between w:val="nil"/>
              </w:pBdr>
              <w:spacing w:line="259" w:lineRule="auto"/>
              <w:jc w:val="both"/>
              <w:rPr>
                <w:rFonts w:ascii="Arial" w:eastAsia="Arial" w:hAnsi="Arial" w:cs="Arial"/>
                <w:b/>
                <w:sz w:val="22"/>
                <w:szCs w:val="22"/>
              </w:rPr>
            </w:pPr>
            <w:r>
              <w:rPr>
                <w:rFonts w:ascii="Arial" w:eastAsia="Arial" w:hAnsi="Arial" w:cs="Arial"/>
                <w:b/>
                <w:sz w:val="22"/>
                <w:szCs w:val="22"/>
              </w:rPr>
              <w:t>Post-session Review</w:t>
            </w:r>
          </w:p>
          <w:p w14:paraId="3F41FF67" w14:textId="20509825" w:rsidR="00760741" w:rsidRDefault="00AB2EEA">
            <w:pPr>
              <w:numPr>
                <w:ilvl w:val="0"/>
                <w:numId w:val="4"/>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Aggregation of Outcomes: The session ends with a comparative analysis of all groups’ decisions. Participants see how final outcomes—averaged over best-, worst-, and median-case climate scenarios—align with key stakeholder objectives.</w:t>
            </w:r>
          </w:p>
          <w:p w14:paraId="61EFF399" w14:textId="77777777" w:rsidR="00760741" w:rsidRDefault="00AB2EEA">
            <w:pPr>
              <w:numPr>
                <w:ilvl w:val="0"/>
                <w:numId w:val="4"/>
              </w:numPr>
              <w:pBdr>
                <w:top w:val="nil"/>
                <w:left w:val="nil"/>
                <w:bottom w:val="nil"/>
                <w:right w:val="nil"/>
                <w:between w:val="nil"/>
              </w:pBdr>
              <w:spacing w:after="160" w:line="259" w:lineRule="auto"/>
              <w:jc w:val="both"/>
              <w:rPr>
                <w:rFonts w:ascii="Arial" w:eastAsia="Arial" w:hAnsi="Arial" w:cs="Arial"/>
                <w:sz w:val="22"/>
                <w:szCs w:val="22"/>
              </w:rPr>
            </w:pPr>
            <w:r>
              <w:rPr>
                <w:rFonts w:ascii="Arial" w:eastAsia="Arial" w:hAnsi="Arial" w:cs="Arial"/>
                <w:sz w:val="22"/>
                <w:szCs w:val="22"/>
              </w:rPr>
              <w:lastRenderedPageBreak/>
              <w:t>Questionnaire &amp; Debrief: A follow-up survey captures changes in participants’ perspectives, lessons learned about collaboration, and feedback for improving the simulation. A facilitated discussion consolidates these insights into actionable recommendations for real-world adaptation planning.</w:t>
            </w:r>
          </w:p>
          <w:p w14:paraId="4D6124F9" w14:textId="77777777" w:rsidR="00760741" w:rsidRDefault="00AB2EEA">
            <w:pPr>
              <w:jc w:val="both"/>
              <w:rPr>
                <w:rFonts w:ascii="Arial" w:eastAsia="Arial" w:hAnsi="Arial" w:cs="Arial"/>
                <w:sz w:val="22"/>
                <w:szCs w:val="22"/>
              </w:rPr>
            </w:pPr>
            <w:r>
              <w:rPr>
                <w:rFonts w:ascii="Arial" w:eastAsia="Arial" w:hAnsi="Arial" w:cs="Arial"/>
                <w:sz w:val="22"/>
                <w:szCs w:val="22"/>
              </w:rPr>
              <w:t>Technological Components are:</w:t>
            </w:r>
          </w:p>
          <w:p w14:paraId="22D44FFB" w14:textId="77777777" w:rsidR="00760741" w:rsidRDefault="00AB2EEA">
            <w:pPr>
              <w:numPr>
                <w:ilvl w:val="0"/>
                <w:numId w:val="5"/>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Simulation Engine: The workshop employs a system-dynamics model focusing on watershed management, capturing interactions among flood control measures, water allocation, land use changes, and conservation initiatives.</w:t>
            </w:r>
          </w:p>
          <w:p w14:paraId="460D1CC3" w14:textId="77777777" w:rsidR="00760741" w:rsidRDefault="00AB2EEA">
            <w:pPr>
              <w:numPr>
                <w:ilvl w:val="0"/>
                <w:numId w:val="5"/>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sz w:val="22"/>
                <w:szCs w:val="22"/>
              </w:rPr>
              <w:t xml:space="preserve">User Interface: Each group (and potentially </w:t>
            </w:r>
            <w:proofErr w:type="gramStart"/>
            <w:r>
              <w:rPr>
                <w:rFonts w:ascii="Arial" w:eastAsia="Arial" w:hAnsi="Arial" w:cs="Arial"/>
                <w:sz w:val="22"/>
                <w:szCs w:val="22"/>
              </w:rPr>
              <w:t>each individual</w:t>
            </w:r>
            <w:proofErr w:type="gramEnd"/>
            <w:r>
              <w:rPr>
                <w:rFonts w:ascii="Arial" w:eastAsia="Arial" w:hAnsi="Arial" w:cs="Arial"/>
                <w:sz w:val="22"/>
                <w:szCs w:val="22"/>
              </w:rPr>
              <w:t>) is equipped with a computer or tablet, providing real-time model output. Participants can monitor other stakeholders’ objectives, adjust policy levers, and observe downstream impacts.</w:t>
            </w:r>
          </w:p>
          <w:p w14:paraId="001530BF" w14:textId="77777777" w:rsidR="00760741" w:rsidRDefault="00AB2EEA">
            <w:pPr>
              <w:numPr>
                <w:ilvl w:val="0"/>
                <w:numId w:val="5"/>
              </w:numPr>
              <w:pBdr>
                <w:top w:val="nil"/>
                <w:left w:val="nil"/>
                <w:bottom w:val="nil"/>
                <w:right w:val="nil"/>
                <w:between w:val="nil"/>
              </w:pBdr>
              <w:spacing w:after="160" w:line="259" w:lineRule="auto"/>
              <w:jc w:val="both"/>
              <w:rPr>
                <w:rFonts w:ascii="Arial" w:eastAsia="Arial" w:hAnsi="Arial" w:cs="Arial"/>
                <w:sz w:val="22"/>
                <w:szCs w:val="22"/>
              </w:rPr>
            </w:pPr>
            <w:r>
              <w:rPr>
                <w:rFonts w:ascii="Arial" w:eastAsia="Arial" w:hAnsi="Arial" w:cs="Arial"/>
                <w:sz w:val="22"/>
                <w:szCs w:val="22"/>
              </w:rPr>
              <w:t>Data Capturing device: The simulator logs participants’ interactions (e.g., which parameters they modify, the time spent on each decision). Combined with annotated transcripts of group discussions, this data enables in-depth behavioral analysis.</w:t>
            </w:r>
          </w:p>
          <w:p w14:paraId="47FBC2F0" w14:textId="77777777" w:rsidR="00760741" w:rsidRDefault="00760741">
            <w:pPr>
              <w:jc w:val="both"/>
              <w:rPr>
                <w:rFonts w:ascii="Arial" w:eastAsia="Arial" w:hAnsi="Arial" w:cs="Arial"/>
              </w:rPr>
            </w:pPr>
          </w:p>
          <w:p w14:paraId="207249D5" w14:textId="77777777" w:rsidR="00760741" w:rsidRDefault="00AB2EEA">
            <w:pPr>
              <w:jc w:val="both"/>
              <w:rPr>
                <w:rFonts w:ascii="Arial" w:eastAsia="Arial" w:hAnsi="Arial" w:cs="Arial"/>
                <w:b/>
                <w:sz w:val="22"/>
                <w:szCs w:val="22"/>
              </w:rPr>
            </w:pPr>
            <w:r>
              <w:rPr>
                <w:rFonts w:ascii="Arial" w:eastAsia="Arial" w:hAnsi="Arial" w:cs="Arial"/>
                <w:b/>
                <w:sz w:val="22"/>
                <w:szCs w:val="22"/>
              </w:rPr>
              <w:t>4. Significance of the Event</w:t>
            </w:r>
          </w:p>
          <w:p w14:paraId="5B872CEB" w14:textId="77777777" w:rsidR="00760741" w:rsidRDefault="00AB2EEA">
            <w:pPr>
              <w:jc w:val="both"/>
              <w:rPr>
                <w:rFonts w:ascii="Arial" w:eastAsia="Arial" w:hAnsi="Arial" w:cs="Arial"/>
                <w:sz w:val="22"/>
                <w:szCs w:val="22"/>
              </w:rPr>
            </w:pPr>
            <w:r>
              <w:rPr>
                <w:rFonts w:ascii="Arial" w:eastAsia="Arial" w:hAnsi="Arial" w:cs="Arial"/>
                <w:sz w:val="22"/>
                <w:szCs w:val="22"/>
              </w:rPr>
              <w:t>Unlike conventional presentations, this workshop immerses participants in data-driven scenarios with high degrees of uncertainty. It is designed to expose trade-offs that might otherwise remain hidden in theoretical discussions—specifically, that optimal actions on a short timescale (e.g., immediate flood defense) may conflict with optimal actions on a longer timescale (e.g., biodiversity conservation strategies). Such experiential learning fosters a deeper appreciation of cross-sectoral dependencies and pr</w:t>
            </w:r>
            <w:r>
              <w:rPr>
                <w:rFonts w:ascii="Arial" w:eastAsia="Arial" w:hAnsi="Arial" w:cs="Arial"/>
                <w:sz w:val="22"/>
                <w:szCs w:val="22"/>
              </w:rPr>
              <w:t>omotes the development of adaptive, long-term thinking.</w:t>
            </w:r>
          </w:p>
          <w:p w14:paraId="6BD32A94" w14:textId="77777777" w:rsidR="00760741" w:rsidRDefault="00AB2EEA">
            <w:pPr>
              <w:jc w:val="both"/>
              <w:rPr>
                <w:rFonts w:ascii="Arial" w:eastAsia="Arial" w:hAnsi="Arial" w:cs="Arial"/>
                <w:sz w:val="22"/>
                <w:szCs w:val="22"/>
              </w:rPr>
            </w:pPr>
            <w:r>
              <w:rPr>
                <w:rFonts w:ascii="Arial" w:eastAsia="Arial" w:hAnsi="Arial" w:cs="Arial"/>
                <w:sz w:val="22"/>
                <w:szCs w:val="22"/>
              </w:rPr>
              <w:t xml:space="preserve">Also, the workshop’s role-play format harnesses the power of experiential learning: participants “learn by doing” as they coordinate, negotiate, and adapt strategies in real time. By combining straightforward instructional components (introductory briefings, UI tutorials) with dynamic group exercises, the session maintains high engagement and interactivity. This approach allows for the capture of process-level data (how people communicate, compromise, and decide) alongside outcome metrics, bridging the gap </w:t>
            </w:r>
            <w:r>
              <w:rPr>
                <w:rFonts w:ascii="Arial" w:eastAsia="Arial" w:hAnsi="Arial" w:cs="Arial"/>
                <w:sz w:val="22"/>
                <w:szCs w:val="22"/>
              </w:rPr>
              <w:t>between theory and practice.</w:t>
            </w:r>
          </w:p>
          <w:p w14:paraId="1F156F98" w14:textId="77777777" w:rsidR="00760741" w:rsidRDefault="00760741">
            <w:pPr>
              <w:jc w:val="both"/>
              <w:rPr>
                <w:rFonts w:ascii="Arial" w:eastAsia="Arial" w:hAnsi="Arial" w:cs="Arial"/>
                <w:sz w:val="22"/>
                <w:szCs w:val="22"/>
              </w:rPr>
            </w:pPr>
          </w:p>
          <w:p w14:paraId="1466EF6A" w14:textId="77777777" w:rsidR="00760741" w:rsidRDefault="00AB2EEA">
            <w:pPr>
              <w:jc w:val="both"/>
              <w:rPr>
                <w:rFonts w:ascii="Arial" w:eastAsia="Arial" w:hAnsi="Arial" w:cs="Arial"/>
                <w:b/>
                <w:sz w:val="22"/>
                <w:szCs w:val="22"/>
              </w:rPr>
            </w:pPr>
            <w:r>
              <w:rPr>
                <w:rFonts w:ascii="Arial" w:eastAsia="Arial" w:hAnsi="Arial" w:cs="Arial"/>
                <w:b/>
                <w:sz w:val="22"/>
                <w:szCs w:val="22"/>
              </w:rPr>
              <w:t>5. Expected Outcomes</w:t>
            </w:r>
          </w:p>
          <w:p w14:paraId="4BFB7D24" w14:textId="77777777" w:rsidR="00760741" w:rsidRDefault="00AB2EEA">
            <w:pPr>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Enhanced Awareness and Coordination Skills</w:t>
            </w:r>
            <w:r>
              <w:rPr>
                <w:rFonts w:ascii="Arial" w:eastAsia="Arial" w:hAnsi="Arial" w:cs="Arial"/>
                <w:sz w:val="22"/>
                <w:szCs w:val="22"/>
              </w:rPr>
              <w:t>: Participants will leave with an enriched understanding of the interconnections among climate risks, sectoral trade-offs, and the importance of long-term planning under uncertainty. They will also develop practical communication and negotiation skills.</w:t>
            </w:r>
          </w:p>
          <w:p w14:paraId="09FC9A6F" w14:textId="77777777" w:rsidR="00760741" w:rsidRDefault="00AB2EEA">
            <w:pPr>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Actionable Strategies for Adaptation</w:t>
            </w:r>
            <w:r>
              <w:rPr>
                <w:rFonts w:ascii="Arial" w:eastAsia="Arial" w:hAnsi="Arial" w:cs="Arial"/>
                <w:sz w:val="22"/>
                <w:szCs w:val="22"/>
              </w:rPr>
              <w:t>: The workshop’s simulation output will provide a data-driven basis for reflecting on policy alternatives—revealing possible “paths” toward robust adaptation under different climate futures. This can inform subsequent decision-making in participants’ home institutions.</w:t>
            </w:r>
          </w:p>
          <w:p w14:paraId="3ABD4B52" w14:textId="77777777" w:rsidR="00760741" w:rsidRDefault="00AB2EEA">
            <w:pPr>
              <w:numPr>
                <w:ilvl w:val="0"/>
                <w:numId w:val="6"/>
              </w:numPr>
              <w:pBdr>
                <w:top w:val="nil"/>
                <w:left w:val="nil"/>
                <w:bottom w:val="nil"/>
                <w:right w:val="nil"/>
                <w:between w:val="nil"/>
              </w:pBdr>
              <w:spacing w:line="259" w:lineRule="auto"/>
              <w:jc w:val="both"/>
              <w:rPr>
                <w:rFonts w:ascii="Arial" w:eastAsia="Arial" w:hAnsi="Arial" w:cs="Arial"/>
                <w:sz w:val="22"/>
                <w:szCs w:val="22"/>
              </w:rPr>
            </w:pPr>
            <w:r>
              <w:rPr>
                <w:rFonts w:ascii="Arial" w:eastAsia="Arial" w:hAnsi="Arial" w:cs="Arial"/>
                <w:b/>
                <w:sz w:val="22"/>
                <w:szCs w:val="22"/>
              </w:rPr>
              <w:t>Research Insights into Group Dynamics</w:t>
            </w:r>
            <w:r>
              <w:rPr>
                <w:rFonts w:ascii="Arial" w:eastAsia="Arial" w:hAnsi="Arial" w:cs="Arial"/>
                <w:sz w:val="22"/>
                <w:szCs w:val="22"/>
              </w:rPr>
              <w:t>: The session’s design allows for testing whether real-world stakeholders gravitate toward cooperative solutions or remain stuck in suboptimal, non-cooperative equilibria. Researchers and facilitators can analyze logs and transcripts to identify patterns that drive or hinder successful collaboration.</w:t>
            </w:r>
          </w:p>
          <w:p w14:paraId="0AFF6F12" w14:textId="77777777" w:rsidR="00760741" w:rsidRDefault="00AB2EEA">
            <w:pPr>
              <w:numPr>
                <w:ilvl w:val="0"/>
                <w:numId w:val="6"/>
              </w:numPr>
              <w:pBdr>
                <w:top w:val="nil"/>
                <w:left w:val="nil"/>
                <w:bottom w:val="nil"/>
                <w:right w:val="nil"/>
                <w:between w:val="nil"/>
              </w:pBdr>
              <w:spacing w:after="160" w:line="259" w:lineRule="auto"/>
              <w:jc w:val="both"/>
              <w:rPr>
                <w:rFonts w:ascii="Arial" w:eastAsia="Arial" w:hAnsi="Arial" w:cs="Arial"/>
                <w:sz w:val="22"/>
                <w:szCs w:val="22"/>
              </w:rPr>
            </w:pPr>
            <w:r>
              <w:rPr>
                <w:rFonts w:ascii="Arial" w:eastAsia="Arial" w:hAnsi="Arial" w:cs="Arial"/>
                <w:b/>
                <w:sz w:val="22"/>
                <w:szCs w:val="22"/>
              </w:rPr>
              <w:lastRenderedPageBreak/>
              <w:t>Network Building</w:t>
            </w:r>
            <w:r>
              <w:rPr>
                <w:rFonts w:ascii="Arial" w:eastAsia="Arial" w:hAnsi="Arial" w:cs="Arial"/>
                <w:sz w:val="22"/>
                <w:szCs w:val="22"/>
              </w:rPr>
              <w:t>: Through collaborative exercises, participants from various sectors and geographic areas will build professional connections, seeding future collaborative efforts in climate adaptation planning.</w:t>
            </w:r>
          </w:p>
        </w:tc>
      </w:tr>
      <w:tr w:rsidR="00760741" w14:paraId="556BEB70" w14:textId="77777777">
        <w:trPr>
          <w:trHeight w:val="576"/>
        </w:trPr>
        <w:tc>
          <w:tcPr>
            <w:tcW w:w="8640" w:type="dxa"/>
          </w:tcPr>
          <w:p w14:paraId="40F18422" w14:textId="77777777" w:rsidR="00760741" w:rsidRDefault="00AB2EEA">
            <w:pPr>
              <w:jc w:val="both"/>
              <w:rPr>
                <w:rFonts w:ascii="Arial" w:eastAsia="Arial" w:hAnsi="Arial" w:cs="Arial"/>
                <w:b/>
                <w:sz w:val="22"/>
                <w:szCs w:val="22"/>
              </w:rPr>
            </w:pPr>
            <w:r>
              <w:rPr>
                <w:rFonts w:ascii="Arial" w:eastAsia="Arial" w:hAnsi="Arial" w:cs="Arial"/>
                <w:b/>
                <w:sz w:val="22"/>
                <w:szCs w:val="22"/>
              </w:rPr>
              <w:lastRenderedPageBreak/>
              <w:t>PARTICIPANTS</w:t>
            </w:r>
          </w:p>
          <w:p w14:paraId="0C66F268" w14:textId="77777777" w:rsidR="00760741" w:rsidRDefault="00760741">
            <w:pPr>
              <w:jc w:val="both"/>
              <w:rPr>
                <w:rFonts w:ascii="Arial" w:eastAsia="Arial" w:hAnsi="Arial" w:cs="Arial"/>
                <w:b/>
                <w:sz w:val="22"/>
                <w:szCs w:val="22"/>
              </w:rPr>
            </w:pPr>
          </w:p>
          <w:p w14:paraId="646E4264" w14:textId="77777777" w:rsidR="00760741" w:rsidRDefault="00AB2EEA">
            <w:pPr>
              <w:jc w:val="both"/>
              <w:rPr>
                <w:rFonts w:ascii="Arial" w:eastAsia="Arial" w:hAnsi="Arial" w:cs="Arial"/>
                <w:b/>
                <w:sz w:val="22"/>
                <w:szCs w:val="22"/>
                <w:u w:val="single"/>
              </w:rPr>
            </w:pPr>
            <w:r>
              <w:rPr>
                <w:rFonts w:ascii="Arial" w:eastAsia="Arial" w:hAnsi="Arial" w:cs="Arial"/>
                <w:b/>
                <w:sz w:val="22"/>
                <w:szCs w:val="22"/>
                <w:u w:val="single"/>
              </w:rPr>
              <w:t>Participant 1</w:t>
            </w:r>
          </w:p>
          <w:p w14:paraId="74F5E286" w14:textId="77777777" w:rsidR="00760741" w:rsidRDefault="00AB2EEA">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Takuya Nakashima</w:t>
            </w:r>
          </w:p>
          <w:p w14:paraId="1800139C" w14:textId="77777777" w:rsidR="00760741" w:rsidRDefault="00AB2EEA">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Graduate School of Frontier Sciences, The University of Tokyo</w:t>
            </w:r>
          </w:p>
          <w:p w14:paraId="55FD14EC" w14:textId="7C180060" w:rsidR="00760741" w:rsidRDefault="00AB2EEA">
            <w:pPr>
              <w:jc w:val="both"/>
              <w:rPr>
                <w:rFonts w:ascii="Arial" w:eastAsia="Arial" w:hAnsi="Arial" w:cs="Arial"/>
                <w:b/>
                <w:sz w:val="22"/>
                <w:szCs w:val="22"/>
              </w:rPr>
            </w:pPr>
            <w:r>
              <w:rPr>
                <w:rFonts w:ascii="Arial" w:eastAsia="Arial" w:hAnsi="Arial" w:cs="Arial"/>
                <w:b/>
                <w:sz w:val="22"/>
                <w:szCs w:val="22"/>
              </w:rPr>
              <w:t>Bio</w:t>
            </w:r>
            <w:r w:rsidR="00763D66">
              <w:rPr>
                <w:rFonts w:ascii="Arial" w:eastAsia="Arial" w:hAnsi="Arial" w:cs="Arial"/>
                <w:b/>
                <w:sz w:val="22"/>
                <w:szCs w:val="22"/>
              </w:rPr>
              <w:t>:</w:t>
            </w:r>
          </w:p>
          <w:p w14:paraId="691885FC" w14:textId="77777777" w:rsidR="00760741" w:rsidRDefault="00AB2EEA">
            <w:pPr>
              <w:jc w:val="both"/>
              <w:rPr>
                <w:rFonts w:ascii="Arial" w:eastAsia="Arial" w:hAnsi="Arial" w:cs="Arial"/>
                <w:sz w:val="22"/>
                <w:szCs w:val="22"/>
              </w:rPr>
            </w:pPr>
            <w:r>
              <w:rPr>
                <w:rFonts w:ascii="Arial" w:eastAsia="Arial" w:hAnsi="Arial" w:cs="Arial"/>
                <w:sz w:val="22"/>
                <w:szCs w:val="22"/>
              </w:rPr>
              <w:t>After earning a master's degree, he worked at a private think tank for eight years, mainly on climate change adaptation policy. In 2024, He earned a Ph.D. in Environmental Studies and became an Assistant professor, researching complex system design. He is implementing systems engineering and model-based decision-making to adaptation planning.</w:t>
            </w:r>
          </w:p>
          <w:p w14:paraId="6CD91618" w14:textId="77777777" w:rsidR="00760741" w:rsidRDefault="00760741">
            <w:pPr>
              <w:jc w:val="both"/>
              <w:rPr>
                <w:rFonts w:ascii="Arial" w:eastAsia="Arial" w:hAnsi="Arial" w:cs="Arial"/>
                <w:sz w:val="22"/>
                <w:szCs w:val="22"/>
              </w:rPr>
            </w:pPr>
          </w:p>
          <w:p w14:paraId="4436A417" w14:textId="770A6D02" w:rsidR="00760741" w:rsidRPr="00763D66" w:rsidRDefault="00AB2EEA">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06B82EB0" w14:textId="3F23BD67" w:rsidR="00C15F34" w:rsidRDefault="00C15F34">
            <w:pPr>
              <w:jc w:val="both"/>
              <w:rPr>
                <w:rFonts w:ascii="Arial" w:eastAsia="Arial" w:hAnsi="Arial" w:cs="Arial"/>
                <w:sz w:val="22"/>
                <w:szCs w:val="22"/>
                <w:lang w:val="en-US"/>
              </w:rPr>
            </w:pPr>
            <w:r w:rsidRPr="00C15F34">
              <w:rPr>
                <w:rFonts w:ascii="Arial" w:eastAsia="Arial" w:hAnsi="Arial" w:cs="Arial"/>
                <w:sz w:val="22"/>
                <w:szCs w:val="22"/>
                <w:lang w:val="en-US"/>
              </w:rPr>
              <w:t>He led the conceptualization, funding acquisition, and management of this research, supported by the SECOM Science and Technology Foundation. His work integrates climate adaptation knowledge with systems engineering and model-based decision-making to enhance policy effectiveness. To improve decision-making in climate adaptation, he proposed a model-based workshop framework that facilitates structured stakeholder engagement. By incorporating system dynamics modeling and scenario analysis, the framework enabl</w:t>
            </w:r>
            <w:r w:rsidRPr="00C15F34">
              <w:rPr>
                <w:rFonts w:ascii="Arial" w:eastAsia="Arial" w:hAnsi="Arial" w:cs="Arial" w:hint="eastAsia"/>
                <w:sz w:val="22"/>
                <w:szCs w:val="22"/>
                <w:lang w:val="en-US"/>
              </w:rPr>
              <w:t>es stakeholders to explore adaptation strategies, assess trade-offs, and foster consensus. Initial case studies show improved collaboration and decision outcomes.</w:t>
            </w:r>
            <w:r>
              <w:rPr>
                <w:rFonts w:ascii="MS Gothic" w:eastAsia="MS Gothic" w:hAnsi="MS Gothic" w:cs="MS Gothic"/>
                <w:sz w:val="22"/>
                <w:szCs w:val="22"/>
                <w:lang w:val="en-US"/>
              </w:rPr>
              <w:t xml:space="preserve"> </w:t>
            </w:r>
            <w:r w:rsidRPr="00C15F34">
              <w:rPr>
                <w:rFonts w:ascii="Arial" w:eastAsia="Arial" w:hAnsi="Arial" w:cs="Arial" w:hint="eastAsia"/>
                <w:sz w:val="22"/>
                <w:szCs w:val="22"/>
                <w:lang w:val="en-US"/>
              </w:rPr>
              <w:t>On the day of the workshop, he will oversee overall management and provide explanations of th</w:t>
            </w:r>
            <w:r w:rsidRPr="00C15F34">
              <w:rPr>
                <w:rFonts w:ascii="Arial" w:eastAsia="Arial" w:hAnsi="Arial" w:cs="Arial"/>
                <w:sz w:val="22"/>
                <w:szCs w:val="22"/>
                <w:lang w:val="en-US"/>
              </w:rPr>
              <w:t>e model.</w:t>
            </w:r>
          </w:p>
          <w:p w14:paraId="6B834ECC" w14:textId="77777777" w:rsidR="00C15F34" w:rsidRPr="00C15F34" w:rsidRDefault="00C15F34">
            <w:pPr>
              <w:jc w:val="both"/>
              <w:rPr>
                <w:rFonts w:ascii="Arial" w:eastAsia="Arial" w:hAnsi="Arial" w:cs="Arial"/>
                <w:sz w:val="22"/>
                <w:szCs w:val="22"/>
                <w:lang w:val="en-US"/>
              </w:rPr>
            </w:pPr>
          </w:p>
          <w:p w14:paraId="7F41DF11" w14:textId="77777777" w:rsidR="00760741" w:rsidRDefault="00AB2EEA">
            <w:pPr>
              <w:jc w:val="both"/>
              <w:rPr>
                <w:rFonts w:ascii="Arial" w:eastAsia="Arial" w:hAnsi="Arial" w:cs="Arial"/>
                <w:b/>
                <w:sz w:val="22"/>
                <w:szCs w:val="22"/>
                <w:u w:val="single"/>
              </w:rPr>
            </w:pPr>
            <w:r>
              <w:rPr>
                <w:rFonts w:ascii="Arial" w:eastAsia="Arial" w:hAnsi="Arial" w:cs="Arial"/>
                <w:b/>
                <w:sz w:val="22"/>
                <w:szCs w:val="22"/>
                <w:u w:val="single"/>
              </w:rPr>
              <w:t>Participant 2</w:t>
            </w:r>
          </w:p>
          <w:p w14:paraId="1D1791C7" w14:textId="77777777" w:rsidR="00760741" w:rsidRDefault="00AB2EEA">
            <w:pPr>
              <w:jc w:val="both"/>
              <w:rPr>
                <w:rFonts w:ascii="Arial" w:eastAsia="Arial" w:hAnsi="Arial" w:cs="Arial"/>
                <w:b/>
                <w:sz w:val="22"/>
                <w:szCs w:val="22"/>
              </w:rPr>
            </w:pPr>
            <w:r>
              <w:rPr>
                <w:rFonts w:ascii="Arial" w:eastAsia="Arial" w:hAnsi="Arial" w:cs="Arial"/>
                <w:b/>
                <w:sz w:val="22"/>
                <w:szCs w:val="22"/>
              </w:rPr>
              <w:t>Full Name: Ryota Wada</w:t>
            </w:r>
          </w:p>
          <w:p w14:paraId="2C4049D9" w14:textId="77777777" w:rsidR="00760741" w:rsidRDefault="00AB2EEA">
            <w:pPr>
              <w:jc w:val="both"/>
              <w:rPr>
                <w:rFonts w:ascii="Arial" w:eastAsia="Arial" w:hAnsi="Arial" w:cs="Arial"/>
                <w:b/>
                <w:sz w:val="22"/>
                <w:szCs w:val="22"/>
              </w:rPr>
            </w:pPr>
            <w:r>
              <w:rPr>
                <w:rFonts w:ascii="Arial" w:eastAsia="Arial" w:hAnsi="Arial" w:cs="Arial"/>
                <w:b/>
                <w:sz w:val="22"/>
                <w:szCs w:val="22"/>
              </w:rPr>
              <w:t>Organisation: Graduate School of Frontier Sciences, The University of Tokyo</w:t>
            </w:r>
          </w:p>
          <w:p w14:paraId="395DD968" w14:textId="78F46757" w:rsidR="00760741" w:rsidRDefault="00AB2EEA">
            <w:pPr>
              <w:jc w:val="both"/>
              <w:rPr>
                <w:rFonts w:ascii="Arial" w:eastAsia="Arial" w:hAnsi="Arial" w:cs="Arial"/>
                <w:b/>
                <w:sz w:val="22"/>
                <w:szCs w:val="22"/>
              </w:rPr>
            </w:pPr>
            <w:r>
              <w:rPr>
                <w:rFonts w:ascii="Arial" w:eastAsia="Arial" w:hAnsi="Arial" w:cs="Arial"/>
                <w:b/>
                <w:sz w:val="22"/>
                <w:szCs w:val="22"/>
              </w:rPr>
              <w:t>Bio</w:t>
            </w:r>
            <w:r w:rsidR="00763D66">
              <w:rPr>
                <w:rFonts w:ascii="Arial" w:eastAsia="Arial" w:hAnsi="Arial" w:cs="Arial"/>
                <w:b/>
                <w:sz w:val="22"/>
                <w:szCs w:val="22"/>
              </w:rPr>
              <w:t>:</w:t>
            </w:r>
          </w:p>
          <w:p w14:paraId="606A40DF" w14:textId="77777777" w:rsidR="00760741" w:rsidRDefault="00AB2EEA">
            <w:pPr>
              <w:jc w:val="both"/>
              <w:rPr>
                <w:rFonts w:ascii="Arial" w:eastAsia="Arial" w:hAnsi="Arial" w:cs="Arial"/>
                <w:sz w:val="22"/>
                <w:szCs w:val="22"/>
              </w:rPr>
            </w:pPr>
            <w:r>
              <w:rPr>
                <w:rFonts w:ascii="Arial" w:eastAsia="Arial" w:hAnsi="Arial" w:cs="Arial"/>
                <w:sz w:val="22"/>
                <w:szCs w:val="22"/>
              </w:rPr>
              <w:t>After earning a Ph.D. in Environmental Science in 2013, he became an Associate Professor in 2020. His research focuses on modeling uncertain marine environments, particularly extreme events. In parallel, he explores model-based decision-making, with a particular emphasis on applications in the maritime and ocean industry.</w:t>
            </w:r>
          </w:p>
          <w:p w14:paraId="67479FE6" w14:textId="77777777" w:rsidR="00760741" w:rsidRDefault="00760741">
            <w:pPr>
              <w:jc w:val="both"/>
              <w:rPr>
                <w:rFonts w:ascii="Arial" w:eastAsia="Arial" w:hAnsi="Arial" w:cs="Arial"/>
                <w:sz w:val="22"/>
                <w:szCs w:val="22"/>
              </w:rPr>
            </w:pPr>
          </w:p>
          <w:p w14:paraId="1C022092" w14:textId="1C0F3C84" w:rsidR="00760741" w:rsidRPr="003A041D" w:rsidRDefault="00AB2EEA">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18A83D0F" w14:textId="77777777" w:rsidR="00760741" w:rsidRDefault="00AB2EEA">
            <w:pPr>
              <w:jc w:val="both"/>
              <w:rPr>
                <w:rFonts w:ascii="Arial" w:eastAsia="Arial" w:hAnsi="Arial" w:cs="Arial"/>
                <w:sz w:val="22"/>
                <w:szCs w:val="22"/>
              </w:rPr>
            </w:pPr>
            <w:r>
              <w:rPr>
                <w:rFonts w:ascii="Arial" w:eastAsia="Arial" w:hAnsi="Arial" w:cs="Arial"/>
                <w:sz w:val="22"/>
                <w:szCs w:val="22"/>
              </w:rPr>
              <w:t>Leveraging his experience in similar research projects, he played a key role in planning and organizing this model-based workshop. He contributed to designing the workshop’s structure, including user interface considerations, survey design, and identifying essential data to be collected. Additionally, he helped shape the overall flow of the workshop to maximize participant engagement and data quality. On the day of this session, he will take on multiple roles, including facilitating discussions, managing ti</w:t>
            </w:r>
            <w:r>
              <w:rPr>
                <w:rFonts w:ascii="Arial" w:eastAsia="Arial" w:hAnsi="Arial" w:cs="Arial"/>
                <w:sz w:val="22"/>
                <w:szCs w:val="22"/>
              </w:rPr>
              <w:t>me, and supporting group work at the venue. His expertise in both model-based decision-making and workshop facilitation will be instrumental in ensuring a productive and insightful experience for all participants.</w:t>
            </w:r>
          </w:p>
          <w:p w14:paraId="093B2EE3" w14:textId="77777777" w:rsidR="00760741" w:rsidRDefault="00760741">
            <w:pPr>
              <w:jc w:val="both"/>
              <w:rPr>
                <w:rFonts w:ascii="Arial" w:eastAsia="Arial" w:hAnsi="Arial" w:cs="Arial"/>
                <w:sz w:val="22"/>
                <w:szCs w:val="22"/>
              </w:rPr>
            </w:pPr>
          </w:p>
          <w:p w14:paraId="3E82640D" w14:textId="77777777" w:rsidR="00760741" w:rsidRDefault="00AB2EEA">
            <w:pPr>
              <w:jc w:val="both"/>
              <w:rPr>
                <w:rFonts w:ascii="Arial" w:eastAsia="Arial" w:hAnsi="Arial" w:cs="Arial"/>
                <w:b/>
                <w:sz w:val="22"/>
                <w:szCs w:val="22"/>
                <w:u w:val="single"/>
              </w:rPr>
            </w:pPr>
            <w:r>
              <w:rPr>
                <w:rFonts w:ascii="Arial" w:eastAsia="Arial" w:hAnsi="Arial" w:cs="Arial"/>
                <w:b/>
                <w:sz w:val="22"/>
                <w:szCs w:val="22"/>
                <w:u w:val="single"/>
              </w:rPr>
              <w:t>Participant 3</w:t>
            </w:r>
          </w:p>
          <w:p w14:paraId="2B45194C" w14:textId="77777777" w:rsidR="00760741" w:rsidRDefault="00AB2EEA">
            <w:pPr>
              <w:jc w:val="both"/>
              <w:rPr>
                <w:rFonts w:ascii="Arial" w:eastAsia="Arial" w:hAnsi="Arial" w:cs="Arial"/>
                <w:b/>
                <w:sz w:val="22"/>
                <w:szCs w:val="22"/>
              </w:rPr>
            </w:pPr>
            <w:r>
              <w:rPr>
                <w:rFonts w:ascii="Arial" w:eastAsia="Arial" w:hAnsi="Arial" w:cs="Arial"/>
                <w:b/>
                <w:sz w:val="22"/>
                <w:szCs w:val="22"/>
              </w:rPr>
              <w:lastRenderedPageBreak/>
              <w:t>Full Name: Kenya Suzuki</w:t>
            </w:r>
          </w:p>
          <w:p w14:paraId="14E83288" w14:textId="77777777" w:rsidR="00760741" w:rsidRDefault="00AB2EEA">
            <w:pPr>
              <w:jc w:val="both"/>
              <w:rPr>
                <w:rFonts w:ascii="Arial" w:eastAsia="Arial" w:hAnsi="Arial" w:cs="Arial"/>
                <w:b/>
                <w:sz w:val="22"/>
                <w:szCs w:val="22"/>
              </w:rPr>
            </w:pPr>
            <w:r>
              <w:rPr>
                <w:rFonts w:ascii="Arial" w:eastAsia="Arial" w:hAnsi="Arial" w:cs="Arial"/>
                <w:b/>
                <w:sz w:val="22"/>
                <w:szCs w:val="22"/>
              </w:rPr>
              <w:t>Organisation: Graduate School of Frontier Sciences, The University of Tokyo</w:t>
            </w:r>
          </w:p>
          <w:p w14:paraId="2AE74E8B" w14:textId="1DE42C36" w:rsidR="00760741" w:rsidRDefault="00AB2EEA">
            <w:pPr>
              <w:jc w:val="both"/>
              <w:rPr>
                <w:rFonts w:ascii="Arial" w:eastAsia="Arial" w:hAnsi="Arial" w:cs="Arial"/>
                <w:b/>
                <w:sz w:val="22"/>
                <w:szCs w:val="22"/>
              </w:rPr>
            </w:pPr>
            <w:r>
              <w:rPr>
                <w:rFonts w:ascii="Arial" w:eastAsia="Arial" w:hAnsi="Arial" w:cs="Arial"/>
                <w:b/>
                <w:sz w:val="22"/>
                <w:szCs w:val="22"/>
              </w:rPr>
              <w:t>Bio</w:t>
            </w:r>
            <w:r w:rsidR="003A041D">
              <w:rPr>
                <w:rFonts w:ascii="Arial" w:eastAsia="Arial" w:hAnsi="Arial" w:cs="Arial"/>
                <w:b/>
                <w:sz w:val="22"/>
                <w:szCs w:val="22"/>
              </w:rPr>
              <w:t>:</w:t>
            </w:r>
          </w:p>
          <w:p w14:paraId="06BCFAC0" w14:textId="77777777" w:rsidR="00760741" w:rsidRDefault="00AB2EEA">
            <w:pPr>
              <w:jc w:val="both"/>
              <w:rPr>
                <w:rFonts w:ascii="Arial" w:eastAsia="Arial" w:hAnsi="Arial" w:cs="Arial"/>
                <w:sz w:val="22"/>
                <w:szCs w:val="22"/>
              </w:rPr>
            </w:pPr>
            <w:r>
              <w:rPr>
                <w:rFonts w:ascii="Arial" w:eastAsia="Arial" w:hAnsi="Arial" w:cs="Arial"/>
                <w:sz w:val="22"/>
                <w:szCs w:val="22"/>
              </w:rPr>
              <w:t xml:space="preserve">He is a </w:t>
            </w:r>
            <w:proofErr w:type="spellStart"/>
            <w:proofErr w:type="gramStart"/>
            <w:r>
              <w:rPr>
                <w:rFonts w:ascii="Arial" w:eastAsia="Arial" w:hAnsi="Arial" w:cs="Arial"/>
                <w:sz w:val="22"/>
                <w:szCs w:val="22"/>
              </w:rPr>
              <w:t>Ph.D</w:t>
            </w:r>
            <w:proofErr w:type="spellEnd"/>
            <w:proofErr w:type="gramEnd"/>
            <w:r>
              <w:rPr>
                <w:rFonts w:ascii="Arial" w:eastAsia="Arial" w:hAnsi="Arial" w:cs="Arial"/>
                <w:sz w:val="22"/>
                <w:szCs w:val="22"/>
              </w:rPr>
              <w:t xml:space="preserve"> candidate in ocean engineering, specializing in model-based decision-making for Japan’s energy sector. His research focused on supporting decision-making for carbon neutrality through system development. He has expertise in developing a decision support system, simulation-based analysis, and workshops for sustainable energy transitions.</w:t>
            </w:r>
          </w:p>
          <w:p w14:paraId="1AEC3978" w14:textId="77777777" w:rsidR="00760741" w:rsidRDefault="00760741">
            <w:pPr>
              <w:jc w:val="both"/>
              <w:rPr>
                <w:rFonts w:ascii="Arial" w:eastAsia="Arial" w:hAnsi="Arial" w:cs="Arial"/>
                <w:sz w:val="22"/>
                <w:szCs w:val="22"/>
              </w:rPr>
            </w:pPr>
          </w:p>
          <w:p w14:paraId="17FB6754" w14:textId="6131695B" w:rsidR="00760741" w:rsidRPr="003A041D" w:rsidRDefault="00AB2EEA">
            <w:pPr>
              <w:jc w:val="both"/>
              <w:rPr>
                <w:rFonts w:ascii="Arial" w:eastAsia="Arial" w:hAnsi="Arial" w:cs="Arial"/>
                <w:b/>
                <w:sz w:val="22"/>
                <w:szCs w:val="22"/>
              </w:rPr>
            </w:pPr>
            <w:r>
              <w:rPr>
                <w:rFonts w:ascii="Arial" w:eastAsia="Arial" w:hAnsi="Arial" w:cs="Arial"/>
                <w:b/>
                <w:sz w:val="22"/>
                <w:szCs w:val="22"/>
              </w:rPr>
              <w:t xml:space="preserve">Participant 3 Contribution: </w:t>
            </w:r>
          </w:p>
          <w:p w14:paraId="261C40E0" w14:textId="43D26904" w:rsidR="00760741" w:rsidRPr="00C15F34" w:rsidRDefault="00C15F34">
            <w:pPr>
              <w:jc w:val="both"/>
              <w:rPr>
                <w:rFonts w:ascii="Arial" w:eastAsia="Arial" w:hAnsi="Arial" w:cs="Arial"/>
                <w:sz w:val="22"/>
                <w:szCs w:val="22"/>
                <w:lang w:val="en-US"/>
              </w:rPr>
            </w:pPr>
            <w:r w:rsidRPr="00C15F34">
              <w:rPr>
                <w:rFonts w:ascii="Arial" w:eastAsia="Arial" w:hAnsi="Arial" w:cs="Arial"/>
                <w:sz w:val="22"/>
                <w:szCs w:val="22"/>
                <w:lang w:val="en-US"/>
              </w:rPr>
              <w:t xml:space="preserve">As a researcher, his work focuses on understanding how decision-makers perceive and navigate complex system development for carbon neutrality. He develops effective decision-making approaches by analyzing cognitive processes in these contexts. By tracking </w:t>
            </w:r>
            <w:r w:rsidRPr="00C15F34">
              <w:rPr>
                <w:rFonts w:ascii="Arial" w:eastAsia="Arial" w:hAnsi="Arial" w:cs="Arial" w:hint="eastAsia"/>
                <w:sz w:val="22"/>
                <w:szCs w:val="22"/>
                <w:lang w:val="en-US"/>
              </w:rPr>
              <w:t>how participants' perceptions evolve throughout discussions, he seeks to clarify the relationship between cognitive shifts and model-based decision-making.</w:t>
            </w:r>
            <w:r w:rsidRPr="00C15F34">
              <w:rPr>
                <w:rFonts w:ascii="MS Gothic" w:eastAsia="MS Gothic" w:hAnsi="MS Gothic" w:cs="MS Gothic" w:hint="eastAsia"/>
                <w:sz w:val="22"/>
                <w:szCs w:val="22"/>
                <w:lang w:val="en-US"/>
              </w:rPr>
              <w:t xml:space="preserve">　</w:t>
            </w:r>
            <w:r w:rsidRPr="00C15F34">
              <w:rPr>
                <w:rFonts w:ascii="Arial" w:eastAsia="Arial" w:hAnsi="Arial" w:cs="Arial" w:hint="eastAsia"/>
                <w:sz w:val="22"/>
                <w:szCs w:val="22"/>
                <w:lang w:val="en-US"/>
              </w:rPr>
              <w:t>This approach bridges theoretical insights with real-world applications, helping stakeholders explor</w:t>
            </w:r>
            <w:r w:rsidRPr="00C15F34">
              <w:rPr>
                <w:rFonts w:ascii="Arial" w:eastAsia="Arial" w:hAnsi="Arial" w:cs="Arial"/>
                <w:sz w:val="22"/>
                <w:szCs w:val="22"/>
                <w:lang w:val="en-US"/>
              </w:rPr>
              <w:t>e and refine strategies for sustainable energy transitions. On the day of the session, he will facilitate group discussions, manage equipment setup, and assist participants in operating the models to ensure a seamless and productive decision-making process.</w:t>
            </w:r>
          </w:p>
          <w:p w14:paraId="380FE90A" w14:textId="77777777" w:rsidR="00760741" w:rsidRDefault="00760741" w:rsidP="00AB2EEA">
            <w:pPr>
              <w:pBdr>
                <w:top w:val="nil"/>
                <w:left w:val="nil"/>
                <w:bottom w:val="nil"/>
                <w:right w:val="nil"/>
                <w:between w:val="nil"/>
              </w:pBdr>
              <w:spacing w:after="160" w:line="259" w:lineRule="auto"/>
              <w:jc w:val="both"/>
              <w:rPr>
                <w:rFonts w:ascii="Arial" w:eastAsia="Arial" w:hAnsi="Arial" w:cs="Arial"/>
                <w:b/>
                <w:sz w:val="22"/>
                <w:szCs w:val="22"/>
              </w:rPr>
            </w:pPr>
          </w:p>
        </w:tc>
      </w:tr>
    </w:tbl>
    <w:p w14:paraId="28341A7B" w14:textId="77777777" w:rsidR="00760741" w:rsidRDefault="00760741"/>
    <w:sectPr w:rsidR="0076074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embedRegular r:id="rId1" w:fontKey="{6100FDA3-F743-42E1-944F-9FB35ADAC708}"/>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9FE6148B-1C0A-43AA-BE44-6BE9BF9ABCE3}"/>
    <w:embedItalic r:id="rId3" w:fontKey="{3C4DE926-9DAD-4499-B61C-66D0C55526EC}"/>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4" w:fontKey="{F09336A4-1460-47BC-A4EC-5CC6EC497424}"/>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6532A3D9-7760-4195-94D1-05B6A0DE665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12DE"/>
    <w:multiLevelType w:val="multilevel"/>
    <w:tmpl w:val="13DE84AE"/>
    <w:lvl w:ilvl="0">
      <w:start w:val="1"/>
      <w:numFmt w:val="decimal"/>
      <w:lvlText w:val="%1."/>
      <w:lvlJc w:val="left"/>
      <w:pPr>
        <w:ind w:left="380" w:hanging="38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0FF844E8"/>
    <w:multiLevelType w:val="multilevel"/>
    <w:tmpl w:val="81D0B0A2"/>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16725B72"/>
    <w:multiLevelType w:val="multilevel"/>
    <w:tmpl w:val="FD02D0BE"/>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3" w15:restartNumberingAfterBreak="0">
    <w:nsid w:val="28B60D28"/>
    <w:multiLevelType w:val="multilevel"/>
    <w:tmpl w:val="C788253E"/>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4" w15:restartNumberingAfterBreak="0">
    <w:nsid w:val="35930712"/>
    <w:multiLevelType w:val="multilevel"/>
    <w:tmpl w:val="B614D034"/>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5" w15:restartNumberingAfterBreak="0">
    <w:nsid w:val="3B945C58"/>
    <w:multiLevelType w:val="multilevel"/>
    <w:tmpl w:val="EC5E70DE"/>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6" w15:restartNumberingAfterBreak="0">
    <w:nsid w:val="3F49268A"/>
    <w:multiLevelType w:val="multilevel"/>
    <w:tmpl w:val="81F65D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6B2CE3"/>
    <w:multiLevelType w:val="multilevel"/>
    <w:tmpl w:val="72A6D8F4"/>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8" w15:restartNumberingAfterBreak="0">
    <w:nsid w:val="70791EB7"/>
    <w:multiLevelType w:val="multilevel"/>
    <w:tmpl w:val="081C97EE"/>
    <w:lvl w:ilvl="0">
      <w:start w:val="1"/>
      <w:numFmt w:val="bullet"/>
      <w:lvlText w:val="-"/>
      <w:lvlJc w:val="left"/>
      <w:pPr>
        <w:ind w:left="440" w:hanging="440"/>
      </w:pPr>
      <w:rPr>
        <w:rFonts w:ascii="Times New Roman" w:eastAsia="Times New Roman" w:hAnsi="Times New Roman" w:cs="Times New Roman"/>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num w:numId="1" w16cid:durableId="1137064205">
    <w:abstractNumId w:val="6"/>
  </w:num>
  <w:num w:numId="2" w16cid:durableId="1502817519">
    <w:abstractNumId w:val="5"/>
  </w:num>
  <w:num w:numId="3" w16cid:durableId="687409345">
    <w:abstractNumId w:val="8"/>
  </w:num>
  <w:num w:numId="4" w16cid:durableId="95904328">
    <w:abstractNumId w:val="4"/>
  </w:num>
  <w:num w:numId="5" w16cid:durableId="1204903978">
    <w:abstractNumId w:val="2"/>
  </w:num>
  <w:num w:numId="6" w16cid:durableId="757289228">
    <w:abstractNumId w:val="3"/>
  </w:num>
  <w:num w:numId="7" w16cid:durableId="1826968018">
    <w:abstractNumId w:val="1"/>
  </w:num>
  <w:num w:numId="8" w16cid:durableId="641160410">
    <w:abstractNumId w:val="0"/>
  </w:num>
  <w:num w:numId="9" w16cid:durableId="384108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41"/>
    <w:rsid w:val="00212447"/>
    <w:rsid w:val="003A041D"/>
    <w:rsid w:val="003F7BE4"/>
    <w:rsid w:val="00760741"/>
    <w:rsid w:val="00763D66"/>
    <w:rsid w:val="00AB2EEA"/>
    <w:rsid w:val="00BE5314"/>
    <w:rsid w:val="00C1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04CA"/>
  <w15:docId w15:val="{9CEA21FE-B6C0-6F4A-A875-A11CEF38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4"/>
        <w:szCs w:val="24"/>
        <w:lang w:val="en-N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lang w:val="en-CA"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lang w:val="en-CA" w:eastAsia="zh-TW"/>
    </w:rPr>
  </w:style>
  <w:style w:type="table" w:customStyle="1" w:styleId="a">
    <w:basedOn w:val="TableNormal2"/>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NormalWeb">
    <w:name w:val="Normal (Web)"/>
    <w:basedOn w:val="Normal"/>
    <w:uiPriority w:val="99"/>
    <w:unhideWhenUsed/>
    <w:rsid w:val="00A46D09"/>
    <w:pPr>
      <w:spacing w:before="100" w:beforeAutospacing="1" w:after="100" w:afterAutospacing="1"/>
    </w:pPr>
    <w:rPr>
      <w:rFonts w:ascii="MS PGothic" w:eastAsia="MS PGothic" w:hAnsi="MS PGothic" w:cs="MS PGothic"/>
      <w:lang w:val="en-US" w:eastAsia="ja-JP"/>
    </w:rPr>
  </w:style>
  <w:style w:type="character" w:styleId="Strong">
    <w:name w:val="Strong"/>
    <w:basedOn w:val="DefaultParagraphFont"/>
    <w:uiPriority w:val="22"/>
    <w:qFormat/>
    <w:rsid w:val="00A46D09"/>
    <w:rPr>
      <w:b/>
      <w:bCs/>
    </w:rPr>
  </w:style>
  <w:style w:type="character" w:styleId="Emphasis">
    <w:name w:val="Emphasis"/>
    <w:basedOn w:val="DefaultParagraphFont"/>
    <w:uiPriority w:val="20"/>
    <w:qFormat/>
    <w:rsid w:val="00A46D09"/>
    <w:rPr>
      <w:i/>
      <w:iCs/>
    </w:rPr>
  </w:style>
  <w:style w:type="table" w:customStyle="1" w:styleId="a0">
    <w:basedOn w:val="TableNormal2"/>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ylrF12dQYQGv6kfAlP9jtT0Ow==">CgMxLjAaJAoBMBIfCh0IB0IZCgVBcmlhbBIQQXJpYWwgVW5pY29kZSBNUxokCgExEh8KHQgHQhkKBUFyaWFsEhBBcmlhbCBVbmljb2RlIE1TOAByITFTUm1VZHVpcUtTUFQ4NkVpaXlSaExOTGtPUV9XMVE1MA==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FCB393-399E-4DED-8AEA-25C560EB6A72}">
  <ds:schemaRefs>
    <ds:schemaRef ds:uri="cab52c9b-ab33-4221-8af9-54f8f2b86a80"/>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6064FC3D-A666-4032-B244-79A48C27CE13}">
  <ds:schemaRefs>
    <ds:schemaRef ds:uri="http://schemas.microsoft.com/sharepoint/v3/contenttype/forms"/>
  </ds:schemaRefs>
</ds:datastoreItem>
</file>

<file path=customXml/itemProps4.xml><?xml version="1.0" encoding="utf-8"?>
<ds:datastoreItem xmlns:ds="http://schemas.openxmlformats.org/officeDocument/2006/customXml" ds:itemID="{7529EB7F-3D8E-4E54-A1D8-127188503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6</cp:revision>
  <dcterms:created xsi:type="dcterms:W3CDTF">2024-10-29T21:33:00Z</dcterms:created>
  <dcterms:modified xsi:type="dcterms:W3CDTF">2025-08-12T20:44:00Z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