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B780FB0" w:rsidR="001564A4" w:rsidRPr="009C17FD" w:rsidRDefault="009C17FD" w:rsidP="009C17F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9C17F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Evaluation of video directly observed therapy in a tuberculosis service </w:t>
            </w:r>
            <w:r w:rsidRPr="009C17FD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678EFE89" w:rsidR="001564A4" w:rsidRPr="00413B94" w:rsidRDefault="009C17F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George Denby</w:t>
            </w:r>
            <w:r w:rsidRPr="009C17F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133F44F7" w:rsidR="001564A4" w:rsidRPr="0050053A" w:rsidRDefault="001564A4" w:rsidP="009C17F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D47E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P</w:t>
            </w:r>
            <w:r w:rsidR="009C17F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rincess Alexandra Hospital</w:t>
            </w:r>
            <w:r w:rsidR="002D47E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QLD, Australia </w:t>
            </w:r>
          </w:p>
        </w:tc>
      </w:tr>
      <w:tr w:rsidR="001564A4" w:rsidRPr="0050053A" w14:paraId="6DAF615A" w14:textId="77777777" w:rsidTr="009C17FD">
        <w:trPr>
          <w:trHeight w:hRule="exact" w:val="13331"/>
          <w:jc w:val="center"/>
        </w:trPr>
        <w:tc>
          <w:tcPr>
            <w:tcW w:w="8640" w:type="dxa"/>
            <w:shd w:val="clear" w:color="auto" w:fill="auto"/>
          </w:tcPr>
          <w:p w14:paraId="739E7937" w14:textId="0DB00A9D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</w:t>
            </w:r>
            <w:r w:rsidR="009C17FD">
              <w:rPr>
                <w:rStyle w:val="A4"/>
                <w:b/>
                <w:bCs/>
              </w:rPr>
              <w:t>/Aim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05E4B52" w14:textId="77777777" w:rsidR="009C17FD" w:rsidRPr="00914C2E" w:rsidRDefault="009C17FD" w:rsidP="009C17FD">
            <w:pPr>
              <w:rPr>
                <w:rFonts w:ascii="Arial" w:eastAsia="Arial" w:hAnsi="Arial" w:cs="Arial"/>
              </w:rPr>
            </w:pP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Directly observed therapy (DOT) is considered the standard of care for patients receiving initial phases of tuberculosis treatment </w:t>
            </w:r>
            <w:r w:rsidRPr="76E114E4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[1]</w:t>
            </w: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.  International guidelines contain recommendations for home-based DOT over facility-based DOT </w:t>
            </w:r>
            <w:r w:rsidRPr="76E114E4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[1,2]</w:t>
            </w: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.  </w:t>
            </w:r>
          </w:p>
          <w:p w14:paraId="6C7C8398" w14:textId="77777777" w:rsidR="009C17FD" w:rsidRPr="00914C2E" w:rsidRDefault="009C17FD" w:rsidP="009C17FD">
            <w:pPr>
              <w:rPr>
                <w:rFonts w:ascii="Arial" w:eastAsia="Arial" w:hAnsi="Arial" w:cs="Arial"/>
              </w:rPr>
            </w:pPr>
            <w:r w:rsidRPr="76E114E4">
              <w:rPr>
                <w:rFonts w:ascii="Arial" w:eastAsia="Arial" w:hAnsi="Arial" w:cs="Arial"/>
                <w:sz w:val="22"/>
                <w:szCs w:val="22"/>
              </w:rPr>
              <w:t>Video DOT (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) uses video devices to allow remote clinical interaction.  Previous studies have shown increased treatment completion when DOT is provided by VDOT </w:t>
            </w:r>
            <w:r w:rsidRPr="76E114E4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[3,5]</w:t>
            </w: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.  Randomised data has found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to be non-inferior with regards to treatment completion and microbiological resolution </w:t>
            </w:r>
            <w:r w:rsidRPr="76E114E4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[4]</w:t>
            </w: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.  </w:t>
            </w:r>
          </w:p>
          <w:p w14:paraId="11CF13CD" w14:textId="77777777" w:rsidR="009C17FD" w:rsidRPr="00914C2E" w:rsidRDefault="009C17FD" w:rsidP="009C17FD">
            <w:pPr>
              <w:rPr>
                <w:rFonts w:ascii="Arial" w:eastAsia="Arial" w:hAnsi="Arial" w:cs="Arial"/>
              </w:rPr>
            </w:pP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We aim to audit departmental outcomes, demographic data and to collect data comparing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to face to face DOT. </w:t>
            </w: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7561059" w14:textId="77777777" w:rsidR="009C17FD" w:rsidRPr="00914C2E" w:rsidRDefault="009C17FD" w:rsidP="009C17FD">
            <w:pPr>
              <w:rPr>
                <w:rFonts w:ascii="Arial" w:eastAsia="Arial" w:hAnsi="Arial" w:cs="Arial"/>
              </w:rPr>
            </w:pP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An audit was conducted to collect data from patients receiving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over a 12 month period by review of attendance records and patient records.  All patients received synchronous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by Telehealth video link.  Data was collected on missed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contact, missed doses and transition to face-to-face DOT.  </w:t>
            </w: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5CCCC67F" w14:textId="77777777" w:rsidR="009C17FD" w:rsidRPr="00914C2E" w:rsidRDefault="009C17FD" w:rsidP="009C17FD">
            <w:pPr>
              <w:rPr>
                <w:rFonts w:ascii="Arial" w:eastAsia="Arial" w:hAnsi="Arial" w:cs="Arial"/>
              </w:rPr>
            </w:pP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30 patients were provided with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over a twelve month period.  Patients were supervised with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for varying periods totalling 413 weeks of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across all patients. 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was provided to regional patients with mean distance from service provider of 68km.  Over that time period 69 episodes of missed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were recorded.  27% of missed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cases were due to connectivity issues whereas 26% were due to medications having been taken independently administered before DOT.  5 patients were transitioned to face to face DOT. </w:t>
            </w:r>
          </w:p>
          <w:p w14:paraId="36E7DF90" w14:textId="77777777" w:rsidR="009C17FD" w:rsidRPr="00914C2E" w:rsidRDefault="009C17FD" w:rsidP="009C17FD">
            <w:pPr>
              <w:rPr>
                <w:rFonts w:ascii="Arial" w:eastAsia="Arial" w:hAnsi="Arial" w:cs="Arial"/>
              </w:rPr>
            </w:pP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Data collection is ongoing for comparison to face to face DOT outcomes. </w:t>
            </w: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726AD10C" w14:textId="77777777" w:rsidR="009C17FD" w:rsidRPr="00914C2E" w:rsidRDefault="009C17FD" w:rsidP="009C17FD">
            <w:pPr>
              <w:rPr>
                <w:rFonts w:ascii="Arial" w:eastAsia="Arial" w:hAnsi="Arial" w:cs="Arial"/>
              </w:rPr>
            </w:pPr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Initial data collection suggests that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is a viable option for monitoring of patients initiating tuberculosis treatment.  Connectivity issues was the leading cause of missed </w:t>
            </w:r>
            <w:proofErr w:type="spellStart"/>
            <w:r w:rsidRPr="76E114E4">
              <w:rPr>
                <w:rFonts w:ascii="Arial" w:eastAsia="Arial" w:hAnsi="Arial" w:cs="Arial"/>
                <w:sz w:val="22"/>
                <w:szCs w:val="22"/>
              </w:rPr>
              <w:t>vDOT</w:t>
            </w:r>
            <w:proofErr w:type="spellEnd"/>
            <w:r w:rsidRPr="76E114E4">
              <w:rPr>
                <w:rFonts w:ascii="Arial" w:eastAsia="Arial" w:hAnsi="Arial" w:cs="Arial"/>
                <w:sz w:val="22"/>
                <w:szCs w:val="22"/>
              </w:rPr>
              <w:t xml:space="preserve"> contact which can be reviewed for improvement.  Data collection is underway for comparison to face to face outcomes.  </w:t>
            </w:r>
          </w:p>
          <w:p w14:paraId="196E7BAC" w14:textId="3F7A832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2CDEBE9C" w14:textId="77777777" w:rsidR="009C17FD" w:rsidRDefault="009C17FD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Nil</w:t>
            </w:r>
          </w:p>
          <w:p w14:paraId="44A4AF11" w14:textId="77777777" w:rsidR="009C17FD" w:rsidRDefault="009C17FD" w:rsidP="000A28E2">
            <w:pPr>
              <w:pStyle w:val="Pa12"/>
              <w:rPr>
                <w:sz w:val="22"/>
                <w:szCs w:val="22"/>
              </w:rPr>
            </w:pPr>
          </w:p>
          <w:p w14:paraId="7970BE42" w14:textId="1D200B66" w:rsidR="009C17FD" w:rsidRPr="009C17FD" w:rsidRDefault="009C17FD" w:rsidP="009C17F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9C17FD">
              <w:rPr>
                <w:rFonts w:ascii="Arial" w:eastAsia="Arial" w:hAnsi="Arial" w:cs="Arial"/>
                <w:sz w:val="22"/>
                <w:szCs w:val="22"/>
              </w:rPr>
              <w:t xml:space="preserve">References </w:t>
            </w:r>
          </w:p>
          <w:p w14:paraId="753FEEF9" w14:textId="77777777" w:rsidR="009C17FD" w:rsidRPr="009C17FD" w:rsidRDefault="009C17FD" w:rsidP="009C17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9C17FD">
              <w:rPr>
                <w:rFonts w:ascii="Arial" w:eastAsia="Arial" w:hAnsi="Arial" w:cs="Arial"/>
              </w:rPr>
              <w:t>WHO guidelines for treatment of drug-susceptible tuberculosis and patient care (2017 update).World Health Organization, Geneva2017​</w:t>
            </w:r>
          </w:p>
          <w:p w14:paraId="30BFB02F" w14:textId="77777777" w:rsidR="009C17FD" w:rsidRPr="009C17FD" w:rsidRDefault="009C17FD" w:rsidP="009C17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9C17FD">
              <w:rPr>
                <w:rFonts w:ascii="Arial" w:eastAsia="Arial" w:hAnsi="Arial" w:cs="Arial"/>
              </w:rPr>
              <w:t>Official American Thoracic Society/</w:t>
            </w:r>
            <w:proofErr w:type="spellStart"/>
            <w:r w:rsidRPr="009C17FD">
              <w:rPr>
                <w:rFonts w:ascii="Arial" w:eastAsia="Arial" w:hAnsi="Arial" w:cs="Arial"/>
              </w:rPr>
              <w:t>Centers</w:t>
            </w:r>
            <w:proofErr w:type="spellEnd"/>
            <w:r w:rsidRPr="009C17FD">
              <w:rPr>
                <w:rFonts w:ascii="Arial" w:eastAsia="Arial" w:hAnsi="Arial" w:cs="Arial"/>
              </w:rPr>
              <w:t xml:space="preserve"> for Disease Control and Prevention/Infectious Diseases Society of America Clinical Practice Guidelines: Treatment of Drug-Susceptible Tuberculosis.  Nahid et. al. Clin Infect Dis.  2016 Oct 1;63(7)​</w:t>
            </w:r>
          </w:p>
          <w:p w14:paraId="44D6B9F0" w14:textId="77777777" w:rsidR="009C17FD" w:rsidRPr="009C17FD" w:rsidRDefault="009C17FD" w:rsidP="009C17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9C17FD">
              <w:rPr>
                <w:rFonts w:ascii="Arial" w:eastAsia="Arial" w:hAnsi="Arial" w:cs="Arial"/>
              </w:rPr>
              <w:t>Smartphone-enabled video-observed versus directly observed treatment for tuberculosis: a multicentre, analyst-blinded, randomised, controlled superiority trial.  Story et. al. Lancet VOLUME 393, ISSUE 10177​</w:t>
            </w:r>
          </w:p>
          <w:p w14:paraId="7CA8153C" w14:textId="77777777" w:rsidR="009C17FD" w:rsidRPr="009C17FD" w:rsidRDefault="009C17FD" w:rsidP="009C17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9C17FD">
              <w:rPr>
                <w:rFonts w:ascii="Arial" w:eastAsia="Arial" w:hAnsi="Arial" w:cs="Arial"/>
              </w:rPr>
              <w:t>Burzynski</w:t>
            </w:r>
            <w:proofErr w:type="spellEnd"/>
            <w:r w:rsidRPr="009C17FD">
              <w:rPr>
                <w:rFonts w:ascii="Arial" w:eastAsia="Arial" w:hAnsi="Arial" w:cs="Arial"/>
              </w:rPr>
              <w:t xml:space="preserve"> J, Mangan JM, Lam CK, et al.; </w:t>
            </w:r>
            <w:proofErr w:type="spellStart"/>
            <w:r w:rsidRPr="009C17FD">
              <w:rPr>
                <w:rFonts w:ascii="Arial" w:eastAsia="Arial" w:hAnsi="Arial" w:cs="Arial"/>
              </w:rPr>
              <w:t>eDOT</w:t>
            </w:r>
            <w:proofErr w:type="spellEnd"/>
            <w:r w:rsidRPr="009C17FD">
              <w:rPr>
                <w:rFonts w:ascii="Arial" w:eastAsia="Arial" w:hAnsi="Arial" w:cs="Arial"/>
              </w:rPr>
              <w:t xml:space="preserve"> Study Team. In-person vs electronic directly observed therapy for tuberculosis treatment adherence: a randomized noninferiority trial. JAMA </w:t>
            </w:r>
            <w:proofErr w:type="spellStart"/>
            <w:r w:rsidRPr="009C17FD">
              <w:rPr>
                <w:rFonts w:ascii="Arial" w:eastAsia="Arial" w:hAnsi="Arial" w:cs="Arial"/>
              </w:rPr>
              <w:t>Netw</w:t>
            </w:r>
            <w:proofErr w:type="spellEnd"/>
            <w:r w:rsidRPr="009C17FD">
              <w:rPr>
                <w:rFonts w:ascii="Arial" w:eastAsia="Arial" w:hAnsi="Arial" w:cs="Arial"/>
              </w:rPr>
              <w:t xml:space="preserve"> Open 2022;5​</w:t>
            </w:r>
          </w:p>
          <w:p w14:paraId="574391F6" w14:textId="77777777" w:rsidR="009C17FD" w:rsidRPr="009C17FD" w:rsidRDefault="009C17FD" w:rsidP="009C17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9C17FD">
              <w:rPr>
                <w:rFonts w:ascii="Arial" w:eastAsia="Arial" w:hAnsi="Arial" w:cs="Arial"/>
              </w:rPr>
              <w:t>Video-observed therapy and medication adherence for tuberculosis patients: randomised controlled trial in Moldova.  Ravenscroft et. al. European Respiratory Journal 2020</w:t>
            </w:r>
          </w:p>
          <w:p w14:paraId="7F8381F0" w14:textId="56436B40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 w:rsidSect="009C17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F42DE"/>
    <w:multiLevelType w:val="hybridMultilevel"/>
    <w:tmpl w:val="8F9865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05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2D47EE"/>
    <w:rsid w:val="0051574E"/>
    <w:rsid w:val="008803FA"/>
    <w:rsid w:val="009C17FD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customStyle="1" w:styleId="paragraph">
    <w:name w:val="paragraph"/>
    <w:basedOn w:val="Normal"/>
    <w:rsid w:val="009C17FD"/>
    <w:pPr>
      <w:spacing w:before="100" w:beforeAutospacing="1" w:after="100" w:afterAutospacing="1"/>
    </w:pPr>
    <w:rPr>
      <w:lang w:val="en-AU" w:eastAsia="en-AU"/>
    </w:rPr>
  </w:style>
  <w:style w:type="character" w:customStyle="1" w:styleId="normaltextrun">
    <w:name w:val="normaltextrun"/>
    <w:basedOn w:val="DefaultParagraphFont"/>
    <w:rsid w:val="009C17FD"/>
  </w:style>
  <w:style w:type="character" w:customStyle="1" w:styleId="eop">
    <w:name w:val="eop"/>
    <w:basedOn w:val="DefaultParagraphFont"/>
    <w:rsid w:val="009C17FD"/>
  </w:style>
  <w:style w:type="paragraph" w:styleId="ListParagraph">
    <w:name w:val="List Paragraph"/>
    <w:basedOn w:val="Normal"/>
    <w:uiPriority w:val="34"/>
    <w:qFormat/>
    <w:rsid w:val="009C17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George Denby</cp:lastModifiedBy>
  <cp:revision>3</cp:revision>
  <dcterms:created xsi:type="dcterms:W3CDTF">2023-10-19T04:39:00Z</dcterms:created>
  <dcterms:modified xsi:type="dcterms:W3CDTF">2023-10-19T04:41:00Z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