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1564A4" w:rsidRPr="0050053A" w14:paraId="5C38377B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5C44F357" w14:textId="6B780FB0" w:rsidR="001564A4" w:rsidRPr="009C17FD" w:rsidRDefault="009C17FD" w:rsidP="009C17F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9C17FD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Evaluation of video directly observed therapy in a tuberculosis service </w:t>
            </w:r>
            <w:r w:rsidRPr="009C17FD"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1564A4" w:rsidRPr="0050053A" w14:paraId="0E2E035C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73B55295" w14:textId="678EFE89" w:rsidR="001564A4" w:rsidRPr="00413B94" w:rsidRDefault="009C17FD" w:rsidP="000A28E2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George Denby</w:t>
            </w:r>
            <w:r w:rsidRPr="009C17FD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</w:p>
        </w:tc>
      </w:tr>
      <w:tr w:rsidR="001564A4" w:rsidRPr="0050053A" w14:paraId="385A19D9" w14:textId="77777777" w:rsidTr="000A28E2">
        <w:trPr>
          <w:trHeight w:val="136"/>
          <w:jc w:val="center"/>
        </w:trPr>
        <w:tc>
          <w:tcPr>
            <w:tcW w:w="8640" w:type="dxa"/>
            <w:shd w:val="clear" w:color="auto" w:fill="auto"/>
          </w:tcPr>
          <w:p w14:paraId="45ED36BF" w14:textId="133F44F7" w:rsidR="001564A4" w:rsidRPr="0050053A" w:rsidRDefault="001564A4" w:rsidP="009C17FD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2D47EE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Department of Respiratory Medicine, P</w:t>
            </w:r>
            <w:r w:rsidR="009C17FD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rincess Alexandra Hospital</w:t>
            </w:r>
            <w:r w:rsidR="002D47EE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, QLD, Australia </w:t>
            </w:r>
          </w:p>
        </w:tc>
      </w:tr>
      <w:tr w:rsidR="001564A4" w:rsidRPr="0050053A" w14:paraId="6DAF615A" w14:textId="77777777" w:rsidTr="009C17FD">
        <w:trPr>
          <w:trHeight w:hRule="exact" w:val="13331"/>
          <w:jc w:val="center"/>
        </w:trPr>
        <w:tc>
          <w:tcPr>
            <w:tcW w:w="8640" w:type="dxa"/>
            <w:shd w:val="clear" w:color="auto" w:fill="auto"/>
          </w:tcPr>
          <w:p w14:paraId="739E7937" w14:textId="0DB00A9D" w:rsidR="001564A4" w:rsidRPr="0050053A" w:rsidRDefault="001564A4" w:rsidP="000A28E2">
            <w:pPr>
              <w:pStyle w:val="Pa12"/>
              <w:rPr>
                <w:rStyle w:val="A4"/>
              </w:rPr>
            </w:pPr>
            <w:r>
              <w:rPr>
                <w:rStyle w:val="A4"/>
                <w:b/>
                <w:bCs/>
              </w:rPr>
              <w:t>Introduction</w:t>
            </w:r>
            <w:r w:rsidR="009C17FD">
              <w:rPr>
                <w:rStyle w:val="A4"/>
                <w:b/>
                <w:bCs/>
              </w:rPr>
              <w:t>/Aim</w:t>
            </w:r>
            <w:r w:rsidRPr="0050053A">
              <w:rPr>
                <w:rStyle w:val="A4"/>
                <w:b/>
                <w:bCs/>
              </w:rPr>
              <w:t xml:space="preserve">: </w:t>
            </w:r>
          </w:p>
          <w:p w14:paraId="705E4B52" w14:textId="77777777" w:rsidR="009C17FD" w:rsidRPr="00914C2E" w:rsidRDefault="009C17FD" w:rsidP="009C17FD">
            <w:pPr>
              <w:rPr>
                <w:rFonts w:ascii="Arial" w:eastAsia="Arial" w:hAnsi="Arial" w:cs="Arial"/>
              </w:rPr>
            </w:pPr>
            <w:r w:rsidRPr="76E114E4">
              <w:rPr>
                <w:rFonts w:ascii="Arial" w:eastAsia="Arial" w:hAnsi="Arial" w:cs="Arial"/>
                <w:sz w:val="22"/>
                <w:szCs w:val="22"/>
              </w:rPr>
              <w:t xml:space="preserve">Directly observed therapy (DOT) is considered the standard of care for patients receiving initial phases of tuberculosis treatment </w:t>
            </w:r>
            <w:r w:rsidRPr="76E114E4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[1]</w:t>
            </w:r>
            <w:r w:rsidRPr="76E114E4">
              <w:rPr>
                <w:rFonts w:ascii="Arial" w:eastAsia="Arial" w:hAnsi="Arial" w:cs="Arial"/>
                <w:sz w:val="22"/>
                <w:szCs w:val="22"/>
              </w:rPr>
              <w:t xml:space="preserve">.  International guidelines contain recommendations for home-based DOT over facility-based DOT </w:t>
            </w:r>
            <w:r w:rsidRPr="76E114E4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[1,2]</w:t>
            </w:r>
            <w:r w:rsidRPr="76E114E4">
              <w:rPr>
                <w:rFonts w:ascii="Arial" w:eastAsia="Arial" w:hAnsi="Arial" w:cs="Arial"/>
                <w:sz w:val="22"/>
                <w:szCs w:val="22"/>
              </w:rPr>
              <w:t xml:space="preserve">.  </w:t>
            </w:r>
          </w:p>
          <w:p w14:paraId="6C7C8398" w14:textId="77777777" w:rsidR="009C17FD" w:rsidRPr="00914C2E" w:rsidRDefault="009C17FD" w:rsidP="009C17FD">
            <w:pPr>
              <w:rPr>
                <w:rFonts w:ascii="Arial" w:eastAsia="Arial" w:hAnsi="Arial" w:cs="Arial"/>
              </w:rPr>
            </w:pPr>
            <w:r w:rsidRPr="76E114E4">
              <w:rPr>
                <w:rFonts w:ascii="Arial" w:eastAsia="Arial" w:hAnsi="Arial" w:cs="Arial"/>
                <w:sz w:val="22"/>
                <w:szCs w:val="22"/>
              </w:rPr>
              <w:t>Video DOT (</w:t>
            </w:r>
            <w:proofErr w:type="spellStart"/>
            <w:r w:rsidRPr="76E114E4">
              <w:rPr>
                <w:rFonts w:ascii="Arial" w:eastAsia="Arial" w:hAnsi="Arial" w:cs="Arial"/>
                <w:sz w:val="22"/>
                <w:szCs w:val="22"/>
              </w:rPr>
              <w:t>vDOT</w:t>
            </w:r>
            <w:proofErr w:type="spellEnd"/>
            <w:r w:rsidRPr="76E114E4">
              <w:rPr>
                <w:rFonts w:ascii="Arial" w:eastAsia="Arial" w:hAnsi="Arial" w:cs="Arial"/>
                <w:sz w:val="22"/>
                <w:szCs w:val="22"/>
              </w:rPr>
              <w:t xml:space="preserve">) uses video devices to allow remote clinical interaction.  Previous studies have shown increased treatment completion when DOT is provided by VDOT </w:t>
            </w:r>
            <w:r w:rsidRPr="76E114E4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[3,5]</w:t>
            </w:r>
            <w:r w:rsidRPr="76E114E4">
              <w:rPr>
                <w:rFonts w:ascii="Arial" w:eastAsia="Arial" w:hAnsi="Arial" w:cs="Arial"/>
                <w:sz w:val="22"/>
                <w:szCs w:val="22"/>
              </w:rPr>
              <w:t xml:space="preserve">.  Randomised data has found </w:t>
            </w:r>
            <w:proofErr w:type="spellStart"/>
            <w:r w:rsidRPr="76E114E4">
              <w:rPr>
                <w:rFonts w:ascii="Arial" w:eastAsia="Arial" w:hAnsi="Arial" w:cs="Arial"/>
                <w:sz w:val="22"/>
                <w:szCs w:val="22"/>
              </w:rPr>
              <w:t>vDOT</w:t>
            </w:r>
            <w:proofErr w:type="spellEnd"/>
            <w:r w:rsidRPr="76E114E4">
              <w:rPr>
                <w:rFonts w:ascii="Arial" w:eastAsia="Arial" w:hAnsi="Arial" w:cs="Arial"/>
                <w:sz w:val="22"/>
                <w:szCs w:val="22"/>
              </w:rPr>
              <w:t xml:space="preserve"> to be non-inferior with regards to treatment completion and microbiological resolution </w:t>
            </w:r>
            <w:r w:rsidRPr="76E114E4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[4]</w:t>
            </w:r>
            <w:r w:rsidRPr="76E114E4">
              <w:rPr>
                <w:rFonts w:ascii="Arial" w:eastAsia="Arial" w:hAnsi="Arial" w:cs="Arial"/>
                <w:sz w:val="22"/>
                <w:szCs w:val="22"/>
              </w:rPr>
              <w:t xml:space="preserve">.  </w:t>
            </w:r>
          </w:p>
          <w:p w14:paraId="11CF13CD" w14:textId="77777777" w:rsidR="009C17FD" w:rsidRPr="00914C2E" w:rsidRDefault="009C17FD" w:rsidP="009C17FD">
            <w:pPr>
              <w:rPr>
                <w:rFonts w:ascii="Arial" w:eastAsia="Arial" w:hAnsi="Arial" w:cs="Arial"/>
              </w:rPr>
            </w:pPr>
            <w:r w:rsidRPr="76E114E4">
              <w:rPr>
                <w:rFonts w:ascii="Arial" w:eastAsia="Arial" w:hAnsi="Arial" w:cs="Arial"/>
                <w:sz w:val="22"/>
                <w:szCs w:val="22"/>
              </w:rPr>
              <w:t xml:space="preserve">We aim to audit departmental outcomes, demographic data and to collect data comparing </w:t>
            </w:r>
            <w:proofErr w:type="spellStart"/>
            <w:r w:rsidRPr="76E114E4">
              <w:rPr>
                <w:rFonts w:ascii="Arial" w:eastAsia="Arial" w:hAnsi="Arial" w:cs="Arial"/>
                <w:sz w:val="22"/>
                <w:szCs w:val="22"/>
              </w:rPr>
              <w:t>vDOT</w:t>
            </w:r>
            <w:proofErr w:type="spellEnd"/>
            <w:r w:rsidRPr="76E114E4">
              <w:rPr>
                <w:rFonts w:ascii="Arial" w:eastAsia="Arial" w:hAnsi="Arial" w:cs="Arial"/>
                <w:sz w:val="22"/>
                <w:szCs w:val="22"/>
              </w:rPr>
              <w:t xml:space="preserve"> to face to face DOT. </w:t>
            </w:r>
          </w:p>
          <w:p w14:paraId="1B39336E" w14:textId="77777777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>Method</w:t>
            </w:r>
            <w:r>
              <w:rPr>
                <w:rStyle w:val="A4"/>
                <w:b/>
                <w:bCs/>
              </w:rPr>
              <w:t>s</w:t>
            </w:r>
            <w:r w:rsidRPr="0050053A">
              <w:rPr>
                <w:rStyle w:val="A4"/>
                <w:b/>
                <w:bCs/>
              </w:rPr>
              <w:t xml:space="preserve">: </w:t>
            </w:r>
          </w:p>
          <w:p w14:paraId="77561059" w14:textId="77777777" w:rsidR="009C17FD" w:rsidRPr="00914C2E" w:rsidRDefault="009C17FD" w:rsidP="009C17FD">
            <w:pPr>
              <w:rPr>
                <w:rFonts w:ascii="Arial" w:eastAsia="Arial" w:hAnsi="Arial" w:cs="Arial"/>
              </w:rPr>
            </w:pPr>
            <w:r w:rsidRPr="76E114E4">
              <w:rPr>
                <w:rFonts w:ascii="Arial" w:eastAsia="Arial" w:hAnsi="Arial" w:cs="Arial"/>
                <w:sz w:val="22"/>
                <w:szCs w:val="22"/>
              </w:rPr>
              <w:t xml:space="preserve">An audit was conducted to collect data from patients receiving </w:t>
            </w:r>
            <w:proofErr w:type="spellStart"/>
            <w:r w:rsidRPr="76E114E4">
              <w:rPr>
                <w:rFonts w:ascii="Arial" w:eastAsia="Arial" w:hAnsi="Arial" w:cs="Arial"/>
                <w:sz w:val="22"/>
                <w:szCs w:val="22"/>
              </w:rPr>
              <w:t>vDOT</w:t>
            </w:r>
            <w:proofErr w:type="spellEnd"/>
            <w:r w:rsidRPr="76E114E4">
              <w:rPr>
                <w:rFonts w:ascii="Arial" w:eastAsia="Arial" w:hAnsi="Arial" w:cs="Arial"/>
                <w:sz w:val="22"/>
                <w:szCs w:val="22"/>
              </w:rPr>
              <w:t xml:space="preserve"> over a 12 month period by review of attendance records and patient records.  All patients received synchronous </w:t>
            </w:r>
            <w:proofErr w:type="spellStart"/>
            <w:r w:rsidRPr="76E114E4">
              <w:rPr>
                <w:rFonts w:ascii="Arial" w:eastAsia="Arial" w:hAnsi="Arial" w:cs="Arial"/>
                <w:sz w:val="22"/>
                <w:szCs w:val="22"/>
              </w:rPr>
              <w:t>vDOT</w:t>
            </w:r>
            <w:proofErr w:type="spellEnd"/>
            <w:r w:rsidRPr="76E114E4">
              <w:rPr>
                <w:rFonts w:ascii="Arial" w:eastAsia="Arial" w:hAnsi="Arial" w:cs="Arial"/>
                <w:sz w:val="22"/>
                <w:szCs w:val="22"/>
              </w:rPr>
              <w:t xml:space="preserve"> by Telehealth video link.  Data was collected on missed </w:t>
            </w:r>
            <w:proofErr w:type="spellStart"/>
            <w:r w:rsidRPr="76E114E4">
              <w:rPr>
                <w:rFonts w:ascii="Arial" w:eastAsia="Arial" w:hAnsi="Arial" w:cs="Arial"/>
                <w:sz w:val="22"/>
                <w:szCs w:val="22"/>
              </w:rPr>
              <w:t>vDOT</w:t>
            </w:r>
            <w:proofErr w:type="spellEnd"/>
            <w:r w:rsidRPr="76E114E4">
              <w:rPr>
                <w:rFonts w:ascii="Arial" w:eastAsia="Arial" w:hAnsi="Arial" w:cs="Arial"/>
                <w:sz w:val="22"/>
                <w:szCs w:val="22"/>
              </w:rPr>
              <w:t xml:space="preserve"> contact, missed doses and transition to face-to-face DOT.  </w:t>
            </w:r>
          </w:p>
          <w:p w14:paraId="6BF3F094" w14:textId="77777777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Results: </w:t>
            </w:r>
          </w:p>
          <w:p w14:paraId="5CCCC67F" w14:textId="77777777" w:rsidR="009C17FD" w:rsidRPr="00914C2E" w:rsidRDefault="009C17FD" w:rsidP="009C17FD">
            <w:pPr>
              <w:rPr>
                <w:rFonts w:ascii="Arial" w:eastAsia="Arial" w:hAnsi="Arial" w:cs="Arial"/>
              </w:rPr>
            </w:pPr>
            <w:r w:rsidRPr="76E114E4">
              <w:rPr>
                <w:rFonts w:ascii="Arial" w:eastAsia="Arial" w:hAnsi="Arial" w:cs="Arial"/>
                <w:sz w:val="22"/>
                <w:szCs w:val="22"/>
              </w:rPr>
              <w:t xml:space="preserve">30 patients were provided with </w:t>
            </w:r>
            <w:proofErr w:type="spellStart"/>
            <w:r w:rsidRPr="76E114E4">
              <w:rPr>
                <w:rFonts w:ascii="Arial" w:eastAsia="Arial" w:hAnsi="Arial" w:cs="Arial"/>
                <w:sz w:val="22"/>
                <w:szCs w:val="22"/>
              </w:rPr>
              <w:t>vDOT</w:t>
            </w:r>
            <w:proofErr w:type="spellEnd"/>
            <w:r w:rsidRPr="76E114E4">
              <w:rPr>
                <w:rFonts w:ascii="Arial" w:eastAsia="Arial" w:hAnsi="Arial" w:cs="Arial"/>
                <w:sz w:val="22"/>
                <w:szCs w:val="22"/>
              </w:rPr>
              <w:t xml:space="preserve"> over a twelve month period.  Patients were supervised with </w:t>
            </w:r>
            <w:proofErr w:type="spellStart"/>
            <w:r w:rsidRPr="76E114E4">
              <w:rPr>
                <w:rFonts w:ascii="Arial" w:eastAsia="Arial" w:hAnsi="Arial" w:cs="Arial"/>
                <w:sz w:val="22"/>
                <w:szCs w:val="22"/>
              </w:rPr>
              <w:t>vDOT</w:t>
            </w:r>
            <w:proofErr w:type="spellEnd"/>
            <w:r w:rsidRPr="76E114E4">
              <w:rPr>
                <w:rFonts w:ascii="Arial" w:eastAsia="Arial" w:hAnsi="Arial" w:cs="Arial"/>
                <w:sz w:val="22"/>
                <w:szCs w:val="22"/>
              </w:rPr>
              <w:t xml:space="preserve"> for varying periods totalling 413 weeks of </w:t>
            </w:r>
            <w:proofErr w:type="spellStart"/>
            <w:r w:rsidRPr="76E114E4">
              <w:rPr>
                <w:rFonts w:ascii="Arial" w:eastAsia="Arial" w:hAnsi="Arial" w:cs="Arial"/>
                <w:sz w:val="22"/>
                <w:szCs w:val="22"/>
              </w:rPr>
              <w:t>vDOT</w:t>
            </w:r>
            <w:proofErr w:type="spellEnd"/>
            <w:r w:rsidRPr="76E114E4">
              <w:rPr>
                <w:rFonts w:ascii="Arial" w:eastAsia="Arial" w:hAnsi="Arial" w:cs="Arial"/>
                <w:sz w:val="22"/>
                <w:szCs w:val="22"/>
              </w:rPr>
              <w:t xml:space="preserve"> across all patients.  </w:t>
            </w:r>
            <w:proofErr w:type="spellStart"/>
            <w:r w:rsidRPr="76E114E4">
              <w:rPr>
                <w:rFonts w:ascii="Arial" w:eastAsia="Arial" w:hAnsi="Arial" w:cs="Arial"/>
                <w:sz w:val="22"/>
                <w:szCs w:val="22"/>
              </w:rPr>
              <w:t>vDOT</w:t>
            </w:r>
            <w:proofErr w:type="spellEnd"/>
            <w:r w:rsidRPr="76E114E4">
              <w:rPr>
                <w:rFonts w:ascii="Arial" w:eastAsia="Arial" w:hAnsi="Arial" w:cs="Arial"/>
                <w:sz w:val="22"/>
                <w:szCs w:val="22"/>
              </w:rPr>
              <w:t xml:space="preserve"> was provided to regional patients with mean distance from service provider of 68km.  Over that time period 69 episodes of missed </w:t>
            </w:r>
            <w:proofErr w:type="spellStart"/>
            <w:r w:rsidRPr="76E114E4">
              <w:rPr>
                <w:rFonts w:ascii="Arial" w:eastAsia="Arial" w:hAnsi="Arial" w:cs="Arial"/>
                <w:sz w:val="22"/>
                <w:szCs w:val="22"/>
              </w:rPr>
              <w:t>vDOT</w:t>
            </w:r>
            <w:proofErr w:type="spellEnd"/>
            <w:r w:rsidRPr="76E114E4">
              <w:rPr>
                <w:rFonts w:ascii="Arial" w:eastAsia="Arial" w:hAnsi="Arial" w:cs="Arial"/>
                <w:sz w:val="22"/>
                <w:szCs w:val="22"/>
              </w:rPr>
              <w:t xml:space="preserve"> were recorded.  27% of missed </w:t>
            </w:r>
            <w:proofErr w:type="spellStart"/>
            <w:r w:rsidRPr="76E114E4">
              <w:rPr>
                <w:rFonts w:ascii="Arial" w:eastAsia="Arial" w:hAnsi="Arial" w:cs="Arial"/>
                <w:sz w:val="22"/>
                <w:szCs w:val="22"/>
              </w:rPr>
              <w:t>vDOT</w:t>
            </w:r>
            <w:proofErr w:type="spellEnd"/>
            <w:r w:rsidRPr="76E114E4">
              <w:rPr>
                <w:rFonts w:ascii="Arial" w:eastAsia="Arial" w:hAnsi="Arial" w:cs="Arial"/>
                <w:sz w:val="22"/>
                <w:szCs w:val="22"/>
              </w:rPr>
              <w:t xml:space="preserve"> cases were due to connectivity issues whereas 26% were due to medications having been taken independently administered before DOT.  5 patients were transitioned to face to face DOT. </w:t>
            </w:r>
          </w:p>
          <w:p w14:paraId="36E7DF90" w14:textId="77777777" w:rsidR="009C17FD" w:rsidRPr="00914C2E" w:rsidRDefault="009C17FD" w:rsidP="009C17FD">
            <w:pPr>
              <w:rPr>
                <w:rFonts w:ascii="Arial" w:eastAsia="Arial" w:hAnsi="Arial" w:cs="Arial"/>
              </w:rPr>
            </w:pPr>
            <w:r w:rsidRPr="76E114E4">
              <w:rPr>
                <w:rFonts w:ascii="Arial" w:eastAsia="Arial" w:hAnsi="Arial" w:cs="Arial"/>
                <w:sz w:val="22"/>
                <w:szCs w:val="22"/>
              </w:rPr>
              <w:t xml:space="preserve">Data collection is ongoing for comparison to face to face DOT outcomes. </w:t>
            </w:r>
          </w:p>
          <w:p w14:paraId="652F7BE1" w14:textId="77777777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Conclusion: </w:t>
            </w:r>
          </w:p>
          <w:p w14:paraId="726AD10C" w14:textId="77777777" w:rsidR="009C17FD" w:rsidRPr="00914C2E" w:rsidRDefault="009C17FD" w:rsidP="009C17FD">
            <w:pPr>
              <w:rPr>
                <w:rFonts w:ascii="Arial" w:eastAsia="Arial" w:hAnsi="Arial" w:cs="Arial"/>
              </w:rPr>
            </w:pPr>
            <w:r w:rsidRPr="76E114E4">
              <w:rPr>
                <w:rFonts w:ascii="Arial" w:eastAsia="Arial" w:hAnsi="Arial" w:cs="Arial"/>
                <w:sz w:val="22"/>
                <w:szCs w:val="22"/>
              </w:rPr>
              <w:t xml:space="preserve">Initial data collection suggests that </w:t>
            </w:r>
            <w:proofErr w:type="spellStart"/>
            <w:r w:rsidRPr="76E114E4">
              <w:rPr>
                <w:rFonts w:ascii="Arial" w:eastAsia="Arial" w:hAnsi="Arial" w:cs="Arial"/>
                <w:sz w:val="22"/>
                <w:szCs w:val="22"/>
              </w:rPr>
              <w:t>vDOT</w:t>
            </w:r>
            <w:proofErr w:type="spellEnd"/>
            <w:r w:rsidRPr="76E114E4">
              <w:rPr>
                <w:rFonts w:ascii="Arial" w:eastAsia="Arial" w:hAnsi="Arial" w:cs="Arial"/>
                <w:sz w:val="22"/>
                <w:szCs w:val="22"/>
              </w:rPr>
              <w:t xml:space="preserve"> is a viable option for monitoring of patients initiating tuberculosis treatment.  Connectivity issues was the leading cause of missed </w:t>
            </w:r>
            <w:proofErr w:type="spellStart"/>
            <w:r w:rsidRPr="76E114E4">
              <w:rPr>
                <w:rFonts w:ascii="Arial" w:eastAsia="Arial" w:hAnsi="Arial" w:cs="Arial"/>
                <w:sz w:val="22"/>
                <w:szCs w:val="22"/>
              </w:rPr>
              <w:t>vDOT</w:t>
            </w:r>
            <w:proofErr w:type="spellEnd"/>
            <w:r w:rsidRPr="76E114E4">
              <w:rPr>
                <w:rFonts w:ascii="Arial" w:eastAsia="Arial" w:hAnsi="Arial" w:cs="Arial"/>
                <w:sz w:val="22"/>
                <w:szCs w:val="22"/>
              </w:rPr>
              <w:t xml:space="preserve"> contact which can be reviewed for improvement.  Data collection is underway for comparison to face to face outcomes.  </w:t>
            </w:r>
          </w:p>
          <w:p w14:paraId="196E7BAC" w14:textId="3F7A832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</w:p>
          <w:p w14:paraId="3E8B4283" w14:textId="77777777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Grant Support: </w:t>
            </w:r>
          </w:p>
          <w:p w14:paraId="2CDEBE9C" w14:textId="77777777" w:rsidR="009C17FD" w:rsidRDefault="009C17FD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Nil</w:t>
            </w:r>
          </w:p>
          <w:p w14:paraId="44A4AF11" w14:textId="77777777" w:rsidR="009C17FD" w:rsidRDefault="009C17FD" w:rsidP="000A28E2">
            <w:pPr>
              <w:pStyle w:val="Pa12"/>
              <w:rPr>
                <w:sz w:val="22"/>
                <w:szCs w:val="22"/>
              </w:rPr>
            </w:pPr>
          </w:p>
          <w:p w14:paraId="7970BE42" w14:textId="1D200B66" w:rsidR="009C17FD" w:rsidRPr="009C17FD" w:rsidRDefault="009C17FD" w:rsidP="009C17F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9C17FD">
              <w:rPr>
                <w:rFonts w:ascii="Arial" w:eastAsia="Arial" w:hAnsi="Arial" w:cs="Arial"/>
                <w:sz w:val="22"/>
                <w:szCs w:val="22"/>
              </w:rPr>
              <w:t xml:space="preserve">References </w:t>
            </w:r>
          </w:p>
          <w:p w14:paraId="753FEEF9" w14:textId="77777777" w:rsidR="009C17FD" w:rsidRPr="009C17FD" w:rsidRDefault="009C17FD" w:rsidP="009C17F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</w:rPr>
            </w:pPr>
            <w:r w:rsidRPr="009C17FD">
              <w:rPr>
                <w:rFonts w:ascii="Arial" w:eastAsia="Arial" w:hAnsi="Arial" w:cs="Arial"/>
              </w:rPr>
              <w:t>WHO guidelines for treatment of drug-susceptible tuberculosis and patient care (2017 update).World Health Organization, Geneva2017​</w:t>
            </w:r>
          </w:p>
          <w:p w14:paraId="30BFB02F" w14:textId="77777777" w:rsidR="009C17FD" w:rsidRPr="009C17FD" w:rsidRDefault="009C17FD" w:rsidP="009C17F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</w:rPr>
            </w:pPr>
            <w:r w:rsidRPr="009C17FD">
              <w:rPr>
                <w:rFonts w:ascii="Arial" w:eastAsia="Arial" w:hAnsi="Arial" w:cs="Arial"/>
              </w:rPr>
              <w:t>Official American Thoracic Society/</w:t>
            </w:r>
            <w:proofErr w:type="spellStart"/>
            <w:r w:rsidRPr="009C17FD">
              <w:rPr>
                <w:rFonts w:ascii="Arial" w:eastAsia="Arial" w:hAnsi="Arial" w:cs="Arial"/>
              </w:rPr>
              <w:t>Centers</w:t>
            </w:r>
            <w:proofErr w:type="spellEnd"/>
            <w:r w:rsidRPr="009C17FD">
              <w:rPr>
                <w:rFonts w:ascii="Arial" w:eastAsia="Arial" w:hAnsi="Arial" w:cs="Arial"/>
              </w:rPr>
              <w:t xml:space="preserve"> for Disease Control and Prevention/Infectious Diseases Society of America Clinical Practice Guidelines: Treatment of Drug-Susceptible Tuberculosis.  Nahid et. al. Clin Infect Dis.  2016 Oct 1;63(7)​</w:t>
            </w:r>
          </w:p>
          <w:p w14:paraId="44D6B9F0" w14:textId="77777777" w:rsidR="009C17FD" w:rsidRPr="009C17FD" w:rsidRDefault="009C17FD" w:rsidP="009C17F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</w:rPr>
            </w:pPr>
            <w:r w:rsidRPr="009C17FD">
              <w:rPr>
                <w:rFonts w:ascii="Arial" w:eastAsia="Arial" w:hAnsi="Arial" w:cs="Arial"/>
              </w:rPr>
              <w:t>Smartphone-enabled video-observed versus directly observed treatment for tuberculosis: a multicentre, analyst-blinded, randomised, controlled superiority trial.  Story et. al. Lancet VOLUME 393, ISSUE 10177​</w:t>
            </w:r>
          </w:p>
          <w:p w14:paraId="7CA8153C" w14:textId="77777777" w:rsidR="009C17FD" w:rsidRPr="009C17FD" w:rsidRDefault="009C17FD" w:rsidP="009C17F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9C17FD">
              <w:rPr>
                <w:rFonts w:ascii="Arial" w:eastAsia="Arial" w:hAnsi="Arial" w:cs="Arial"/>
              </w:rPr>
              <w:t>Burzynski</w:t>
            </w:r>
            <w:proofErr w:type="spellEnd"/>
            <w:r w:rsidRPr="009C17FD">
              <w:rPr>
                <w:rFonts w:ascii="Arial" w:eastAsia="Arial" w:hAnsi="Arial" w:cs="Arial"/>
              </w:rPr>
              <w:t xml:space="preserve"> J, Mangan JM, Lam CK, et al.; </w:t>
            </w:r>
            <w:proofErr w:type="spellStart"/>
            <w:r w:rsidRPr="009C17FD">
              <w:rPr>
                <w:rFonts w:ascii="Arial" w:eastAsia="Arial" w:hAnsi="Arial" w:cs="Arial"/>
              </w:rPr>
              <w:t>eDOT</w:t>
            </w:r>
            <w:proofErr w:type="spellEnd"/>
            <w:r w:rsidRPr="009C17FD">
              <w:rPr>
                <w:rFonts w:ascii="Arial" w:eastAsia="Arial" w:hAnsi="Arial" w:cs="Arial"/>
              </w:rPr>
              <w:t xml:space="preserve"> Study Team. In-person vs electronic directly observed therapy for tuberculosis treatment adherence: a randomized noninferiority trial. JAMA </w:t>
            </w:r>
            <w:proofErr w:type="spellStart"/>
            <w:r w:rsidRPr="009C17FD">
              <w:rPr>
                <w:rFonts w:ascii="Arial" w:eastAsia="Arial" w:hAnsi="Arial" w:cs="Arial"/>
              </w:rPr>
              <w:t>Netw</w:t>
            </w:r>
            <w:proofErr w:type="spellEnd"/>
            <w:r w:rsidRPr="009C17FD">
              <w:rPr>
                <w:rFonts w:ascii="Arial" w:eastAsia="Arial" w:hAnsi="Arial" w:cs="Arial"/>
              </w:rPr>
              <w:t xml:space="preserve"> Open 2022;5​</w:t>
            </w:r>
          </w:p>
          <w:p w14:paraId="574391F6" w14:textId="77777777" w:rsidR="009C17FD" w:rsidRPr="009C17FD" w:rsidRDefault="009C17FD" w:rsidP="009C17F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</w:rPr>
            </w:pPr>
            <w:r w:rsidRPr="009C17FD">
              <w:rPr>
                <w:rFonts w:ascii="Arial" w:eastAsia="Arial" w:hAnsi="Arial" w:cs="Arial"/>
              </w:rPr>
              <w:t>Video-observed therapy and medication adherence for tuberculosis patients: randomised controlled trial in Moldova.  Ravenscroft et. al. European Respiratory Journal 2020</w:t>
            </w:r>
          </w:p>
          <w:p w14:paraId="7F8381F0" w14:textId="56436B40" w:rsidR="001564A4" w:rsidRDefault="001564A4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</w:p>
          <w:p w14:paraId="731CD908" w14:textId="77777777" w:rsidR="001564A4" w:rsidRDefault="001564A4" w:rsidP="000A28E2">
            <w:pPr>
              <w:pStyle w:val="Default"/>
            </w:pPr>
          </w:p>
          <w:p w14:paraId="34BF0A0F" w14:textId="77777777" w:rsidR="001564A4" w:rsidRPr="003E35F0" w:rsidRDefault="001564A4" w:rsidP="000A28E2">
            <w:pPr>
              <w:pStyle w:val="Default"/>
            </w:pPr>
          </w:p>
          <w:p w14:paraId="1FF1A88F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14DC37E4" w14:textId="77777777" w:rsidR="001564A4" w:rsidRPr="0050053A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50053A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Default="00E0700F" w:rsidP="001564A4"/>
    <w:sectPr w:rsidR="00E0700F" w:rsidSect="009C17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F42DE"/>
    <w:multiLevelType w:val="hybridMultilevel"/>
    <w:tmpl w:val="8F9865B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054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1564A4"/>
    <w:rsid w:val="002D47EE"/>
    <w:rsid w:val="0051574E"/>
    <w:rsid w:val="008803FA"/>
    <w:rsid w:val="009C17FD"/>
    <w:rsid w:val="00B12E32"/>
    <w:rsid w:val="00E0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paragraph" w:customStyle="1" w:styleId="paragraph">
    <w:name w:val="paragraph"/>
    <w:basedOn w:val="Normal"/>
    <w:rsid w:val="009C17FD"/>
    <w:pPr>
      <w:spacing w:before="100" w:beforeAutospacing="1" w:after="100" w:afterAutospacing="1"/>
    </w:pPr>
    <w:rPr>
      <w:lang w:val="en-AU" w:eastAsia="en-AU"/>
    </w:rPr>
  </w:style>
  <w:style w:type="character" w:customStyle="1" w:styleId="normaltextrun">
    <w:name w:val="normaltextrun"/>
    <w:basedOn w:val="DefaultParagraphFont"/>
    <w:rsid w:val="009C17FD"/>
  </w:style>
  <w:style w:type="character" w:customStyle="1" w:styleId="eop">
    <w:name w:val="eop"/>
    <w:basedOn w:val="DefaultParagraphFont"/>
    <w:rsid w:val="009C17FD"/>
  </w:style>
  <w:style w:type="paragraph" w:styleId="ListParagraph">
    <w:name w:val="List Paragraph"/>
    <w:basedOn w:val="Normal"/>
    <w:uiPriority w:val="34"/>
    <w:qFormat/>
    <w:rsid w:val="009C17F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2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1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5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6" ma:contentTypeDescription="Create a new document." ma:contentTypeScope="" ma:versionID="e2b445427de7fdc952c105e35286659b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97f37c8f8b798b54af2a8e7107b543b3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4E03BB-3B94-43A7-A10E-EF4C0ABC6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George Denby</cp:lastModifiedBy>
  <cp:revision>3</cp:revision>
  <dcterms:created xsi:type="dcterms:W3CDTF">2023-10-19T04:39:00Z</dcterms:created>
  <dcterms:modified xsi:type="dcterms:W3CDTF">2023-10-19T04:41:00Z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