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4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9604"/>
      </w:tblGrid>
      <w:tr w:rsidR="002B7FC8" w:rsidRPr="005865DD" w14:paraId="5A4DE250" w14:textId="77777777" w:rsidTr="0022692A">
        <w:tc>
          <w:tcPr>
            <w:tcW w:w="9604" w:type="dxa"/>
          </w:tcPr>
          <w:p w14:paraId="16B6D862" w14:textId="77777777" w:rsidR="0003367B" w:rsidRPr="005865DD" w:rsidRDefault="0003367B" w:rsidP="0003367B">
            <w:pPr>
              <w:jc w:val="both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342F76CE" w14:textId="210D638E" w:rsidR="0003367B" w:rsidRPr="005865DD" w:rsidRDefault="004B6725" w:rsidP="0003367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>Workplace stress</w:t>
            </w:r>
            <w:r w:rsidR="00457BE1"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>, mental health</w:t>
            </w:r>
            <w:r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and resilience of health</w:t>
            </w:r>
            <w:r w:rsidR="002405ED"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care </w:t>
            </w:r>
            <w:r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>workers</w:t>
            </w:r>
          </w:p>
          <w:p w14:paraId="5A4DE24F" w14:textId="4A1574D2" w:rsidR="004B6725" w:rsidRPr="005865DD" w:rsidRDefault="004B6725" w:rsidP="0003367B">
            <w:pPr>
              <w:jc w:val="both"/>
              <w:rPr>
                <w:rFonts w:ascii="Arial" w:hAnsi="Arial" w:cs="Arial"/>
                <w:b/>
                <w:sz w:val="8"/>
                <w:szCs w:val="22"/>
                <w:lang w:val="en-CA"/>
              </w:rPr>
            </w:pPr>
          </w:p>
        </w:tc>
      </w:tr>
      <w:tr w:rsidR="002B7FC8" w:rsidRPr="005865DD" w14:paraId="5A4DE264" w14:textId="77777777" w:rsidTr="0022692A">
        <w:trPr>
          <w:trHeight w:val="699"/>
        </w:trPr>
        <w:tc>
          <w:tcPr>
            <w:tcW w:w="9604" w:type="dxa"/>
          </w:tcPr>
          <w:p w14:paraId="08C2CBAE" w14:textId="77777777" w:rsidR="008E0E6A" w:rsidRPr="005865DD" w:rsidRDefault="008E0E6A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5865DD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>Background/Objectives</w:t>
            </w:r>
          </w:p>
          <w:p w14:paraId="5A4DE255" w14:textId="77777777" w:rsidR="00DA7A71" w:rsidRPr="005865DD" w:rsidRDefault="00DA7A71" w:rsidP="00E36AD7">
            <w:pPr>
              <w:jc w:val="both"/>
              <w:rPr>
                <w:rFonts w:ascii="Arial" w:hAnsi="Arial" w:cs="Arial"/>
                <w:sz w:val="16"/>
                <w:szCs w:val="22"/>
                <w:lang w:val="en-CA"/>
              </w:rPr>
            </w:pPr>
          </w:p>
          <w:p w14:paraId="28227C0D" w14:textId="632523EF" w:rsidR="00930F33" w:rsidRPr="005865DD" w:rsidRDefault="00E21F87" w:rsidP="0084669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>Workplace stress increases the risk of mental health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 problems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>. In early 2015, a maj</w:t>
            </w:r>
            <w:r w:rsidR="00632254"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or healthcare reform was undertaken in 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Quebec </w:t>
            </w:r>
            <w:r w:rsidR="00F9533C" w:rsidRPr="005865DD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>Canada</w:t>
            </w:r>
            <w:r w:rsidR="00F9533C" w:rsidRPr="005865DD">
              <w:rPr>
                <w:rFonts w:ascii="Arial" w:hAnsi="Arial" w:cs="Arial"/>
                <w:sz w:val="22"/>
                <w:szCs w:val="22"/>
                <w:lang w:val="en-US"/>
              </w:rPr>
              <w:t>). It r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eorganized the 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clinical and administrative 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structures, resulting in higher stress for workers, 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with </w:t>
            </w:r>
            <w:r w:rsidR="00B839C8" w:rsidRPr="005865DD">
              <w:rPr>
                <w:rFonts w:ascii="Arial" w:hAnsi="Arial" w:cs="Arial"/>
                <w:sz w:val="22"/>
                <w:szCs w:val="22"/>
                <w:lang w:val="en-US"/>
              </w:rPr>
              <w:t>many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839C8" w:rsidRPr="005865DD">
              <w:rPr>
                <w:rFonts w:ascii="Arial" w:hAnsi="Arial" w:cs="Arial"/>
                <w:sz w:val="22"/>
                <w:szCs w:val="22"/>
                <w:lang w:val="en-US"/>
              </w:rPr>
              <w:t>recourses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 to sick leaves and early 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retirements. A better understanding of the associations between stress, psychological distress, and adaptive capacities 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among healthcare workers at the beginning of the reform 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is thus relevant. </w:t>
            </w:r>
          </w:p>
          <w:p w14:paraId="62F9F338" w14:textId="77777777" w:rsidR="00E21F87" w:rsidRPr="005865DD" w:rsidRDefault="00E21F87" w:rsidP="0084669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4DE258" w14:textId="51CD4EA2" w:rsidR="00DA7A71" w:rsidRPr="005865DD" w:rsidRDefault="004B7D91" w:rsidP="00A3392B">
            <w:pPr>
              <w:tabs>
                <w:tab w:val="left" w:pos="708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>Methods</w:t>
            </w:r>
            <w:r w:rsidR="00A3392B"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ab/>
            </w:r>
          </w:p>
          <w:p w14:paraId="2019A579" w14:textId="12EDD113" w:rsidR="00A3392B" w:rsidRPr="005865DD" w:rsidRDefault="00A3392B" w:rsidP="00E36AD7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n-CA"/>
              </w:rPr>
            </w:pPr>
          </w:p>
          <w:p w14:paraId="09A3A357" w14:textId="6111CE3C" w:rsidR="009309DC" w:rsidRPr="005865DD" w:rsidRDefault="005E0694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In summer 2015, the 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>P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ublic 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ealth 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epartment of Eastern Townships (Quebec, Canada) undertook a representative regional survey in which 1008 healthcare workers participated. 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We examined the level of resilience </w:t>
            </w:r>
            <w:r w:rsidR="00D03D63" w:rsidRPr="005865DD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="00C74A7D" w:rsidRPr="005865DD">
              <w:rPr>
                <w:rFonts w:ascii="Arial" w:hAnsi="Arial" w:cs="Arial"/>
                <w:sz w:val="22"/>
                <w:szCs w:val="22"/>
                <w:lang w:val="en-US"/>
              </w:rPr>
              <w:t xml:space="preserve"> this subsample, its distribution according to occupational categories, and investigated whether it moderates associations between daily stress and psychological distress, using r</w:t>
            </w:r>
            <w:r w:rsidRPr="005865DD">
              <w:rPr>
                <w:rFonts w:ascii="Arial" w:hAnsi="Arial" w:cs="Arial"/>
                <w:sz w:val="22"/>
                <w:szCs w:val="22"/>
                <w:lang w:val="en-US"/>
              </w:rPr>
              <w:t>egression models.</w:t>
            </w:r>
          </w:p>
          <w:p w14:paraId="20DAB92C" w14:textId="77777777" w:rsidR="005E0694" w:rsidRPr="005865DD" w:rsidRDefault="005E069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5A4DE25D" w14:textId="6252EBE7" w:rsidR="00DA7A71" w:rsidRPr="005865DD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>Results</w:t>
            </w:r>
          </w:p>
          <w:p w14:paraId="5DE43832" w14:textId="77777777" w:rsidR="00E117D2" w:rsidRPr="005865DD" w:rsidRDefault="00E117D2" w:rsidP="00846692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n-CA"/>
              </w:rPr>
            </w:pPr>
          </w:p>
          <w:p w14:paraId="0F37316E" w14:textId="7D04D543" w:rsidR="00A372EC" w:rsidRPr="005865DD" w:rsidRDefault="00C74A7D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R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>esilience</w:t>
            </w:r>
            <w:r w:rsidR="00D03D63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of healthcare workers 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wa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>s higher than in the population. One third of workers report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ed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their work as quite or extremely stressful, 56.2% rate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d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it as their </w:t>
            </w:r>
            <w:r w:rsidR="009B04A3" w:rsidRPr="005865DD">
              <w:rPr>
                <w:rFonts w:ascii="Arial" w:hAnsi="Arial" w:cs="Arial"/>
                <w:sz w:val="22"/>
                <w:szCs w:val="22"/>
                <w:lang w:val="en-CA"/>
              </w:rPr>
              <w:t>1</w:t>
            </w:r>
            <w:r w:rsidR="009B04A3" w:rsidRPr="005865DD">
              <w:rPr>
                <w:rFonts w:ascii="Arial" w:hAnsi="Arial" w:cs="Arial"/>
                <w:sz w:val="22"/>
                <w:szCs w:val="22"/>
                <w:vertAlign w:val="superscript"/>
                <w:lang w:val="en-CA"/>
              </w:rPr>
              <w:t>st</w:t>
            </w:r>
            <w:r w:rsidR="009B04A3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>source of stress, and 25.7% show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ed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psychological distress (vs. 28.7, 51.2%, 23.3% in the population). Despite higher stress, administrators ha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d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45AC6" w:rsidRPr="005865DD">
              <w:rPr>
                <w:rFonts w:ascii="Arial" w:hAnsi="Arial" w:cs="Arial"/>
                <w:sz w:val="22"/>
                <w:szCs w:val="22"/>
                <w:lang w:val="en-CA"/>
              </w:rPr>
              <w:t>h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>igher resilience and lower psychological distress. Nursing- and teaching-related work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ers were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around the mean </w:t>
            </w:r>
            <w:r w:rsidR="00D03D63" w:rsidRPr="005865DD">
              <w:rPr>
                <w:rFonts w:ascii="Arial" w:hAnsi="Arial" w:cs="Arial"/>
                <w:sz w:val="22"/>
                <w:szCs w:val="22"/>
                <w:lang w:val="en-CA"/>
              </w:rPr>
              <w:t>for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psychological distress and resilience. Support staff ha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d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higher psychological distress and lower resilience. For social staff, technicians, and professionals, psychological distress 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wa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>s higher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despite a lower stress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>. Resilience moderat</w:t>
            </w:r>
            <w:r w:rsidR="00E86F2E" w:rsidRPr="005865DD">
              <w:rPr>
                <w:rFonts w:ascii="Arial" w:hAnsi="Arial" w:cs="Arial"/>
                <w:sz w:val="22"/>
                <w:szCs w:val="22"/>
                <w:lang w:val="en-CA"/>
              </w:rPr>
              <w:t>e</w:t>
            </w:r>
            <w:r w:rsidR="00F9533C" w:rsidRPr="005865DD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the association between 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daily </w:t>
            </w:r>
            <w:r w:rsidR="00CE7127" w:rsidRPr="005865DD">
              <w:rPr>
                <w:rFonts w:ascii="Arial" w:hAnsi="Arial" w:cs="Arial"/>
                <w:sz w:val="22"/>
                <w:szCs w:val="22"/>
                <w:lang w:val="en-CA"/>
              </w:rPr>
              <w:t>stress and psychological distress</w:t>
            </w:r>
            <w:r w:rsidR="00EE2F2A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. The </w:t>
            </w:r>
            <w:r w:rsidR="0062026C" w:rsidRPr="005865DD">
              <w:rPr>
                <w:rFonts w:ascii="Arial" w:hAnsi="Arial" w:cs="Arial"/>
                <w:sz w:val="22"/>
                <w:szCs w:val="22"/>
                <w:lang w:val="en-CA"/>
              </w:rPr>
              <w:t>OR</w:t>
            </w:r>
            <w:r w:rsidR="00EE2F2A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of </w:t>
            </w:r>
            <w:r w:rsidR="00A11F16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psychological distress </w:t>
            </w:r>
            <w:r w:rsidR="0062026C" w:rsidRPr="005865DD">
              <w:rPr>
                <w:rFonts w:ascii="Arial" w:hAnsi="Arial" w:cs="Arial"/>
                <w:sz w:val="22"/>
                <w:szCs w:val="22"/>
                <w:lang w:val="en-CA"/>
              </w:rPr>
              <w:t>for</w:t>
            </w:r>
            <w:r w:rsidR="00EE2F2A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workers with </w:t>
            </w:r>
            <w:r w:rsidR="00A11F16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resilience </w:t>
            </w:r>
            <w:r w:rsidR="002363B8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under the </w:t>
            </w:r>
            <w:r w:rsidR="00A11F16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mean </w:t>
            </w:r>
            <w:r w:rsidR="002363B8" w:rsidRPr="005865DD">
              <w:rPr>
                <w:rFonts w:ascii="Arial" w:hAnsi="Arial" w:cs="Arial"/>
                <w:sz w:val="22"/>
                <w:szCs w:val="22"/>
                <w:lang w:val="en-CA"/>
              </w:rPr>
              <w:t>i</w:t>
            </w:r>
            <w:r w:rsidR="00EE2F2A" w:rsidRPr="005865DD">
              <w:rPr>
                <w:rFonts w:ascii="Arial" w:hAnsi="Arial" w:cs="Arial"/>
                <w:sz w:val="22"/>
                <w:szCs w:val="22"/>
                <w:lang w:val="en-CA"/>
              </w:rPr>
              <w:t>s 2.81 (95%CI:1.91-4.14) whereas th</w:t>
            </w:r>
            <w:r w:rsidR="00555131" w:rsidRPr="005865DD">
              <w:rPr>
                <w:rFonts w:ascii="Arial" w:hAnsi="Arial" w:cs="Arial"/>
                <w:sz w:val="22"/>
                <w:szCs w:val="22"/>
                <w:lang w:val="en-CA"/>
              </w:rPr>
              <w:t>is</w:t>
            </w:r>
            <w:r w:rsidR="00E86F2E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EE2F2A" w:rsidRPr="005865DD">
              <w:rPr>
                <w:rFonts w:ascii="Arial" w:hAnsi="Arial" w:cs="Arial"/>
                <w:sz w:val="22"/>
                <w:szCs w:val="22"/>
                <w:lang w:val="en-CA"/>
              </w:rPr>
              <w:t>association is non-signifi</w:t>
            </w:r>
            <w:r w:rsidR="00E86F2E" w:rsidRPr="005865DD">
              <w:rPr>
                <w:rFonts w:ascii="Arial" w:hAnsi="Arial" w:cs="Arial"/>
                <w:sz w:val="22"/>
                <w:szCs w:val="22"/>
                <w:lang w:val="en-CA"/>
              </w:rPr>
              <w:t>cant</w:t>
            </w:r>
            <w:r w:rsidR="00EE2F2A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when resilience is higher than the mean (OR=0.84, 95%CI:0.50-1.51).</w:t>
            </w:r>
          </w:p>
          <w:p w14:paraId="43D6FA44" w14:textId="77777777" w:rsidR="00CE7127" w:rsidRPr="005865DD" w:rsidRDefault="00CE712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564CB77E" w:rsidR="004B7D91" w:rsidRPr="005865DD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>Discussion</w:t>
            </w:r>
          </w:p>
          <w:p w14:paraId="58284AD8" w14:textId="77777777" w:rsidR="009D0240" w:rsidRPr="005865DD" w:rsidRDefault="009D0240" w:rsidP="00E36AD7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n-CA"/>
              </w:rPr>
            </w:pPr>
          </w:p>
          <w:p w14:paraId="1F8A5238" w14:textId="0A3150C6" w:rsidR="00E3517F" w:rsidRPr="005865DD" w:rsidRDefault="0045165C" w:rsidP="00E36AD7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Our f</w:t>
            </w:r>
            <w:r w:rsidR="00D71B6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indings show </w:t>
            </w:r>
            <w:r w:rsidR="00945AC6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high </w:t>
            </w:r>
            <w:r w:rsidR="00D71B6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resilience among healthcare workers. However, </w:t>
            </w:r>
            <w:r w:rsidR="00945AC6" w:rsidRPr="005865DD">
              <w:rPr>
                <w:rFonts w:ascii="Arial" w:hAnsi="Arial" w:cs="Arial"/>
                <w:sz w:val="22"/>
                <w:szCs w:val="22"/>
                <w:lang w:val="en-CA"/>
              </w:rPr>
              <w:t>33.3%</w:t>
            </w:r>
            <w:r w:rsidR="00D71B6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of 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the</w:t>
            </w:r>
            <w:r w:rsidR="009B04A3" w:rsidRPr="005865DD">
              <w:rPr>
                <w:rFonts w:ascii="Arial" w:hAnsi="Arial" w:cs="Arial"/>
                <w:sz w:val="22"/>
                <w:szCs w:val="22"/>
                <w:lang w:val="en-CA"/>
              </w:rPr>
              <w:t>m rep</w:t>
            </w:r>
            <w:r w:rsidR="00D71B67" w:rsidRPr="005865DD">
              <w:rPr>
                <w:rFonts w:ascii="Arial" w:hAnsi="Arial" w:cs="Arial"/>
                <w:sz w:val="22"/>
                <w:szCs w:val="22"/>
                <w:lang w:val="en-CA"/>
              </w:rPr>
              <w:t>ort</w:t>
            </w:r>
            <w:r w:rsidRPr="005865DD">
              <w:rPr>
                <w:rFonts w:ascii="Arial" w:hAnsi="Arial" w:cs="Arial"/>
                <w:sz w:val="22"/>
                <w:szCs w:val="22"/>
                <w:lang w:val="en-CA"/>
              </w:rPr>
              <w:t>ed</w:t>
            </w:r>
            <w:r w:rsidR="00D71B6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00945AC6" w:rsidRPr="005865DD">
              <w:rPr>
                <w:rFonts w:ascii="Arial" w:hAnsi="Arial" w:cs="Arial"/>
                <w:sz w:val="22"/>
                <w:szCs w:val="22"/>
                <w:lang w:val="en-CA"/>
              </w:rPr>
              <w:t>daily</w:t>
            </w:r>
            <w:r w:rsidR="00D71B6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stress, and </w:t>
            </w:r>
            <w:r w:rsidR="00945AC6" w:rsidRPr="005865DD">
              <w:rPr>
                <w:rFonts w:ascii="Arial" w:hAnsi="Arial" w:cs="Arial"/>
                <w:sz w:val="22"/>
                <w:szCs w:val="22"/>
                <w:lang w:val="en-CA"/>
              </w:rPr>
              <w:t>25.7%</w:t>
            </w:r>
            <w:r w:rsidR="00D71B6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 psychological distress. </w:t>
            </w:r>
            <w:r w:rsidR="002A5901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A gradient emerges in the distribution of resilience as a function of workplace position hierarchy, with higher resilience and lower psychological distress (despite equal or higher stress) among higher positions. A higher resilience cancels the negative associations between daily stress and psychological distress. These results support the need for workplace health promotion, especially in a </w:t>
            </w:r>
            <w:r w:rsidR="006E0A77" w:rsidRPr="005865DD">
              <w:rPr>
                <w:rFonts w:ascii="Arial" w:hAnsi="Arial" w:cs="Arial"/>
                <w:sz w:val="22"/>
                <w:szCs w:val="22"/>
                <w:lang w:val="en-CA"/>
              </w:rPr>
              <w:t>post-</w:t>
            </w:r>
            <w:r w:rsidR="002A5901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reform </w:t>
            </w:r>
            <w:r w:rsidR="006E0A77" w:rsidRPr="005865DD">
              <w:rPr>
                <w:rFonts w:ascii="Arial" w:hAnsi="Arial" w:cs="Arial"/>
                <w:sz w:val="22"/>
                <w:szCs w:val="22"/>
                <w:lang w:val="en-CA"/>
              </w:rPr>
              <w:t xml:space="preserve">context </w:t>
            </w:r>
            <w:r w:rsidR="002A5901" w:rsidRPr="005865DD">
              <w:rPr>
                <w:rFonts w:ascii="Arial" w:hAnsi="Arial" w:cs="Arial"/>
                <w:sz w:val="22"/>
                <w:szCs w:val="22"/>
                <w:lang w:val="en-CA"/>
              </w:rPr>
              <w:t>and in the lower spectrum of hierarchy to reduce health inequalities.</w:t>
            </w:r>
          </w:p>
          <w:p w14:paraId="347540B2" w14:textId="77777777" w:rsidR="00D71B67" w:rsidRPr="005865DD" w:rsidRDefault="00D71B67" w:rsidP="00E36AD7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432A82A1" w14:textId="77777777" w:rsidR="00DA7A71" w:rsidRDefault="004B7D91" w:rsidP="009D024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>Keywords</w:t>
            </w:r>
            <w:r w:rsidR="009D0240" w:rsidRPr="005865DD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: </w:t>
            </w:r>
            <w:r w:rsidR="009001FA" w:rsidRPr="005865DD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Resilience; Health </w:t>
            </w:r>
            <w:r w:rsidR="009D0240" w:rsidRPr="005865DD">
              <w:rPr>
                <w:rFonts w:ascii="Arial" w:hAnsi="Arial" w:cs="Arial"/>
                <w:bCs/>
                <w:sz w:val="22"/>
                <w:szCs w:val="22"/>
                <w:lang w:val="en-CA"/>
              </w:rPr>
              <w:t>asset, W</w:t>
            </w:r>
            <w:r w:rsidR="009001FA" w:rsidRPr="005865DD">
              <w:rPr>
                <w:rFonts w:ascii="Arial" w:hAnsi="Arial" w:cs="Arial"/>
                <w:bCs/>
                <w:sz w:val="22"/>
                <w:szCs w:val="22"/>
                <w:lang w:val="en-CA"/>
              </w:rPr>
              <w:t>ork</w:t>
            </w:r>
            <w:r w:rsidR="009D0240" w:rsidRPr="005865DD">
              <w:rPr>
                <w:rFonts w:ascii="Arial" w:hAnsi="Arial" w:cs="Arial"/>
                <w:bCs/>
                <w:sz w:val="22"/>
                <w:szCs w:val="22"/>
                <w:lang w:val="en-CA"/>
              </w:rPr>
              <w:t>place stress; Psychological distress</w:t>
            </w:r>
          </w:p>
          <w:p w14:paraId="5A4DE263" w14:textId="348DE8D8" w:rsidR="005865DD" w:rsidRPr="005865DD" w:rsidRDefault="005865DD" w:rsidP="009D0240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bookmarkStart w:id="0" w:name="_GoBack"/>
            <w:bookmarkEnd w:id="0"/>
          </w:p>
        </w:tc>
      </w:tr>
    </w:tbl>
    <w:p w14:paraId="5A4DE265" w14:textId="7A951703" w:rsidR="00490208" w:rsidRPr="005865DD" w:rsidRDefault="00490208" w:rsidP="004C45A1">
      <w:pPr>
        <w:rPr>
          <w:rFonts w:ascii="Arial" w:hAnsi="Arial" w:cs="Arial"/>
          <w:lang w:val="en-CA"/>
        </w:rPr>
      </w:pPr>
    </w:p>
    <w:p w14:paraId="44A0C826" w14:textId="33F7E082" w:rsidR="006E1DAB" w:rsidRPr="005865DD" w:rsidRDefault="006E1DAB" w:rsidP="006E1DAB">
      <w:pPr>
        <w:ind w:left="-851"/>
        <w:rPr>
          <w:rFonts w:ascii="Arial" w:hAnsi="Arial" w:cs="Arial"/>
          <w:b/>
          <w:lang w:val="fr-CA"/>
        </w:rPr>
      </w:pPr>
    </w:p>
    <w:sectPr w:rsidR="006E1DAB" w:rsidRPr="005865DD" w:rsidSect="0022692A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367B"/>
    <w:rsid w:val="0003525D"/>
    <w:rsid w:val="00077988"/>
    <w:rsid w:val="0008349E"/>
    <w:rsid w:val="000C05CE"/>
    <w:rsid w:val="000C0C1E"/>
    <w:rsid w:val="00131D1E"/>
    <w:rsid w:val="00170809"/>
    <w:rsid w:val="001C3A37"/>
    <w:rsid w:val="001F3389"/>
    <w:rsid w:val="00211765"/>
    <w:rsid w:val="0022692A"/>
    <w:rsid w:val="00230B21"/>
    <w:rsid w:val="00234EAA"/>
    <w:rsid w:val="002363B8"/>
    <w:rsid w:val="002405ED"/>
    <w:rsid w:val="00242808"/>
    <w:rsid w:val="00244A11"/>
    <w:rsid w:val="00247C9C"/>
    <w:rsid w:val="00286961"/>
    <w:rsid w:val="00294265"/>
    <w:rsid w:val="00297DDF"/>
    <w:rsid w:val="002A5901"/>
    <w:rsid w:val="002B7FC8"/>
    <w:rsid w:val="002C0E6D"/>
    <w:rsid w:val="002F34DB"/>
    <w:rsid w:val="00317FFE"/>
    <w:rsid w:val="003468EE"/>
    <w:rsid w:val="00363AF7"/>
    <w:rsid w:val="00390121"/>
    <w:rsid w:val="003A6236"/>
    <w:rsid w:val="003A6B1D"/>
    <w:rsid w:val="003B15A7"/>
    <w:rsid w:val="003E419E"/>
    <w:rsid w:val="003F596D"/>
    <w:rsid w:val="00421A3F"/>
    <w:rsid w:val="00436FE3"/>
    <w:rsid w:val="0045165C"/>
    <w:rsid w:val="00457BE1"/>
    <w:rsid w:val="00490208"/>
    <w:rsid w:val="004B5B95"/>
    <w:rsid w:val="004B6725"/>
    <w:rsid w:val="004B7D91"/>
    <w:rsid w:val="004C45A1"/>
    <w:rsid w:val="004E345D"/>
    <w:rsid w:val="00554E8E"/>
    <w:rsid w:val="00555131"/>
    <w:rsid w:val="00564331"/>
    <w:rsid w:val="005865DD"/>
    <w:rsid w:val="00590824"/>
    <w:rsid w:val="005E0694"/>
    <w:rsid w:val="005F7DC7"/>
    <w:rsid w:val="00603C0E"/>
    <w:rsid w:val="0062026C"/>
    <w:rsid w:val="00632254"/>
    <w:rsid w:val="0063669B"/>
    <w:rsid w:val="006605DB"/>
    <w:rsid w:val="00663BFF"/>
    <w:rsid w:val="006C6E32"/>
    <w:rsid w:val="006E0A77"/>
    <w:rsid w:val="006E1DAB"/>
    <w:rsid w:val="0070252B"/>
    <w:rsid w:val="00714C46"/>
    <w:rsid w:val="00717C05"/>
    <w:rsid w:val="007A2A9C"/>
    <w:rsid w:val="007E61BA"/>
    <w:rsid w:val="0082392D"/>
    <w:rsid w:val="00846692"/>
    <w:rsid w:val="008874BF"/>
    <w:rsid w:val="008C05AC"/>
    <w:rsid w:val="008C05C1"/>
    <w:rsid w:val="008E0E6A"/>
    <w:rsid w:val="009001FA"/>
    <w:rsid w:val="009309DC"/>
    <w:rsid w:val="00930F33"/>
    <w:rsid w:val="00932377"/>
    <w:rsid w:val="00945AC6"/>
    <w:rsid w:val="009579B1"/>
    <w:rsid w:val="00964ABC"/>
    <w:rsid w:val="009B04A3"/>
    <w:rsid w:val="009B7881"/>
    <w:rsid w:val="009D0240"/>
    <w:rsid w:val="009F3B07"/>
    <w:rsid w:val="00A031FB"/>
    <w:rsid w:val="00A112C8"/>
    <w:rsid w:val="00A11F16"/>
    <w:rsid w:val="00A1780F"/>
    <w:rsid w:val="00A3392B"/>
    <w:rsid w:val="00A372EC"/>
    <w:rsid w:val="00AA1598"/>
    <w:rsid w:val="00AA5B46"/>
    <w:rsid w:val="00AB42C9"/>
    <w:rsid w:val="00B12CD1"/>
    <w:rsid w:val="00B20967"/>
    <w:rsid w:val="00B66D3A"/>
    <w:rsid w:val="00B766BF"/>
    <w:rsid w:val="00B77943"/>
    <w:rsid w:val="00B839C8"/>
    <w:rsid w:val="00BC5CBE"/>
    <w:rsid w:val="00BF1D0F"/>
    <w:rsid w:val="00C211D2"/>
    <w:rsid w:val="00C73E89"/>
    <w:rsid w:val="00C74A7D"/>
    <w:rsid w:val="00C84789"/>
    <w:rsid w:val="00C978A6"/>
    <w:rsid w:val="00CA0DE6"/>
    <w:rsid w:val="00CB2597"/>
    <w:rsid w:val="00CC5CF2"/>
    <w:rsid w:val="00CD0335"/>
    <w:rsid w:val="00CE496D"/>
    <w:rsid w:val="00CE5D57"/>
    <w:rsid w:val="00CE7127"/>
    <w:rsid w:val="00D03D63"/>
    <w:rsid w:val="00D71B67"/>
    <w:rsid w:val="00D71EFE"/>
    <w:rsid w:val="00D752BA"/>
    <w:rsid w:val="00DA45EE"/>
    <w:rsid w:val="00DA7A71"/>
    <w:rsid w:val="00DC1904"/>
    <w:rsid w:val="00DC2C64"/>
    <w:rsid w:val="00DE6D44"/>
    <w:rsid w:val="00E0479B"/>
    <w:rsid w:val="00E117D2"/>
    <w:rsid w:val="00E1305A"/>
    <w:rsid w:val="00E21F87"/>
    <w:rsid w:val="00E3517F"/>
    <w:rsid w:val="00E36AD7"/>
    <w:rsid w:val="00E379B4"/>
    <w:rsid w:val="00E458B1"/>
    <w:rsid w:val="00E670E4"/>
    <w:rsid w:val="00E67CF9"/>
    <w:rsid w:val="00E86F2E"/>
    <w:rsid w:val="00EE2F2A"/>
    <w:rsid w:val="00F16B61"/>
    <w:rsid w:val="00F407AD"/>
    <w:rsid w:val="00F728F5"/>
    <w:rsid w:val="00F86A0C"/>
    <w:rsid w:val="00F9533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8466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225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2254"/>
    <w:rPr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74A7D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C74A7D"/>
  </w:style>
  <w:style w:type="character" w:customStyle="1" w:styleId="CommentTextChar">
    <w:name w:val="Comment Text Char"/>
    <w:basedOn w:val="DefaultParagraphFont"/>
    <w:link w:val="CommentText"/>
    <w:semiHidden/>
    <w:rsid w:val="00C74A7D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4A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74A7D"/>
    <w:rPr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911e96c-4cc4-42d5-8e43-f93924cf6a05"/>
    <ds:schemaRef ds:uri="9c8a2b7b-0bee-4c48-b0a6-23db8982d3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2018-06-19T22:59:00Z</dcterms:created>
  <dcterms:modified xsi:type="dcterms:W3CDTF">2018-06-19T22:59:00Z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