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1B3E93" w14:paraId="5C38377B" w14:textId="77777777" w:rsidTr="000A28E2">
        <w:trPr>
          <w:jc w:val="center"/>
        </w:trPr>
        <w:tc>
          <w:tcPr>
            <w:tcW w:w="8640" w:type="dxa"/>
            <w:shd w:val="clear" w:color="auto" w:fill="auto"/>
          </w:tcPr>
          <w:p w14:paraId="5C44F357" w14:textId="0C156CDA" w:rsidR="001564A4" w:rsidRPr="001B3E93" w:rsidRDefault="004F584D" w:rsidP="004F584D">
            <w:pPr>
              <w:rPr>
                <w:rFonts w:ascii="Arial" w:hAnsi="Arial" w:cs="Arial"/>
                <w:color w:val="00B050"/>
                <w:sz w:val="22"/>
                <w:szCs w:val="22"/>
              </w:rPr>
            </w:pPr>
            <w:r w:rsidRPr="001B3E93">
              <w:rPr>
                <w:rFonts w:ascii="Arial" w:hAnsi="Arial" w:cs="Arial"/>
                <w:color w:val="000000" w:themeColor="text1"/>
                <w:sz w:val="22"/>
                <w:szCs w:val="22"/>
              </w:rPr>
              <w:t>A re-examination of response rates to bronchial thermoplasty</w:t>
            </w:r>
          </w:p>
        </w:tc>
      </w:tr>
      <w:tr w:rsidR="001564A4" w:rsidRPr="001B3E93" w14:paraId="0E2E035C" w14:textId="77777777" w:rsidTr="00107C03">
        <w:trPr>
          <w:trHeight w:val="433"/>
          <w:jc w:val="center"/>
        </w:trPr>
        <w:tc>
          <w:tcPr>
            <w:tcW w:w="8640" w:type="dxa"/>
            <w:shd w:val="clear" w:color="auto" w:fill="auto"/>
          </w:tcPr>
          <w:p w14:paraId="73B55295" w14:textId="582BFD44" w:rsidR="001564A4" w:rsidRPr="001B3E93" w:rsidRDefault="004F584D" w:rsidP="000A28E2">
            <w:pPr>
              <w:spacing w:before="120" w:after="120"/>
              <w:rPr>
                <w:rFonts w:ascii="Arial" w:hAnsi="Arial" w:cs="Arial"/>
                <w:sz w:val="22"/>
                <w:szCs w:val="22"/>
                <w:u w:val="single"/>
                <w:lang w:eastAsia="zh-CN"/>
              </w:rPr>
            </w:pPr>
            <w:r w:rsidRPr="001B3E93">
              <w:rPr>
                <w:rFonts w:ascii="Arial" w:hAnsi="Arial" w:cs="Arial"/>
                <w:sz w:val="22"/>
                <w:szCs w:val="22"/>
                <w:lang w:val="en-US" w:eastAsia="en-GB"/>
              </w:rPr>
              <w:t>E Pan</w:t>
            </w:r>
            <w:proofErr w:type="gramStart"/>
            <w:r w:rsidR="001564A4" w:rsidRPr="001B3E93">
              <w:rPr>
                <w:rFonts w:ascii="Arial" w:hAnsi="Arial" w:cs="Arial"/>
                <w:sz w:val="22"/>
                <w:szCs w:val="22"/>
                <w:vertAlign w:val="superscript"/>
                <w:lang w:val="en-US" w:eastAsia="en-GB"/>
              </w:rPr>
              <w:t>1</w:t>
            </w:r>
            <w:bookmarkStart w:id="0" w:name="Text8"/>
            <w:r w:rsidR="001564A4" w:rsidRPr="001B3E93">
              <w:rPr>
                <w:rFonts w:ascii="Arial" w:hAnsi="Arial" w:cs="Arial"/>
                <w:sz w:val="22"/>
                <w:szCs w:val="22"/>
                <w:lang w:val="en-US" w:eastAsia="en-GB"/>
              </w:rPr>
              <w:t>,</w:t>
            </w:r>
            <w:bookmarkEnd w:id="0"/>
            <w:r w:rsidRPr="001B3E93">
              <w:rPr>
                <w:rFonts w:ascii="Arial" w:hAnsi="Arial" w:cs="Arial"/>
                <w:sz w:val="22"/>
                <w:szCs w:val="22"/>
                <w:lang w:val="en-US" w:eastAsia="en-GB"/>
              </w:rPr>
              <w:t>A</w:t>
            </w:r>
            <w:proofErr w:type="gramEnd"/>
            <w:r w:rsidRPr="001B3E93">
              <w:rPr>
                <w:rFonts w:ascii="Arial" w:hAnsi="Arial" w:cs="Arial"/>
                <w:sz w:val="22"/>
                <w:szCs w:val="22"/>
                <w:lang w:val="en-US" w:eastAsia="en-GB"/>
              </w:rPr>
              <w:t xml:space="preserve"> Ing</w:t>
            </w:r>
            <w:r w:rsidR="001564A4" w:rsidRPr="001B3E93">
              <w:rPr>
                <w:rFonts w:ascii="Arial" w:hAnsi="Arial" w:cs="Arial"/>
                <w:sz w:val="22"/>
                <w:szCs w:val="22"/>
                <w:vertAlign w:val="superscript"/>
                <w:lang w:val="en-US" w:eastAsia="en-GB"/>
              </w:rPr>
              <w:t>2</w:t>
            </w:r>
            <w:r w:rsidR="001564A4" w:rsidRPr="001B3E93">
              <w:rPr>
                <w:rFonts w:ascii="Arial" w:hAnsi="Arial" w:cs="Arial"/>
                <w:sz w:val="22"/>
                <w:szCs w:val="22"/>
                <w:lang w:val="en-US" w:eastAsia="en-GB"/>
              </w:rPr>
              <w:t>,</w:t>
            </w:r>
            <w:r w:rsidRPr="001B3E93">
              <w:rPr>
                <w:rFonts w:ascii="Arial" w:hAnsi="Arial" w:cs="Arial"/>
                <w:sz w:val="22"/>
                <w:szCs w:val="22"/>
                <w:lang w:val="en-US" w:eastAsia="en-GB"/>
              </w:rPr>
              <w:t>P Li</w:t>
            </w:r>
            <w:r w:rsidR="00332A16">
              <w:rPr>
                <w:rFonts w:ascii="Arial" w:hAnsi="Arial" w:cs="Arial"/>
                <w:sz w:val="22"/>
                <w:szCs w:val="22"/>
                <w:lang w:val="en-US" w:eastAsia="en-GB"/>
              </w:rPr>
              <w:t>l</w:t>
            </w:r>
            <w:r w:rsidRPr="001B3E93">
              <w:rPr>
                <w:rFonts w:ascii="Arial" w:hAnsi="Arial" w:cs="Arial"/>
                <w:sz w:val="22"/>
                <w:szCs w:val="22"/>
                <w:lang w:val="en-US" w:eastAsia="en-GB"/>
              </w:rPr>
              <w:t>burn</w:t>
            </w:r>
            <w:r w:rsidR="00921E2C">
              <w:rPr>
                <w:rFonts w:ascii="Arial" w:hAnsi="Arial" w:cs="Arial"/>
                <w:sz w:val="22"/>
                <w:szCs w:val="22"/>
                <w:vertAlign w:val="superscript"/>
                <w:lang w:val="en-US" w:eastAsia="en-GB"/>
              </w:rPr>
              <w:t>2,3</w:t>
            </w:r>
            <w:r w:rsidR="001564A4" w:rsidRPr="001B3E93">
              <w:rPr>
                <w:rFonts w:ascii="Arial" w:hAnsi="Arial" w:cs="Arial"/>
                <w:sz w:val="22"/>
                <w:szCs w:val="22"/>
                <w:lang w:val="en-US" w:eastAsia="en-GB"/>
              </w:rPr>
              <w:t>,</w:t>
            </w:r>
            <w:r w:rsidRPr="001B3E93">
              <w:rPr>
                <w:rFonts w:ascii="Arial" w:hAnsi="Arial" w:cs="Arial"/>
                <w:sz w:val="22"/>
                <w:szCs w:val="22"/>
                <w:lang w:val="en-US" w:eastAsia="en-GB"/>
              </w:rPr>
              <w:t>D Fielding</w:t>
            </w:r>
            <w:r w:rsidR="001564A4" w:rsidRPr="001B3E93">
              <w:rPr>
                <w:rFonts w:ascii="Arial" w:hAnsi="Arial" w:cs="Arial"/>
                <w:sz w:val="22"/>
                <w:szCs w:val="22"/>
                <w:vertAlign w:val="superscript"/>
                <w:lang w:val="en-US" w:eastAsia="en-GB"/>
              </w:rPr>
              <w:t>4</w:t>
            </w:r>
            <w:r w:rsidR="001564A4" w:rsidRPr="001B3E93">
              <w:rPr>
                <w:rFonts w:ascii="Arial" w:hAnsi="Arial" w:cs="Arial"/>
                <w:sz w:val="22"/>
                <w:szCs w:val="22"/>
                <w:lang w:val="en-US" w:eastAsia="en-GB"/>
              </w:rPr>
              <w:t>,</w:t>
            </w:r>
            <w:r w:rsidRPr="001B3E93">
              <w:rPr>
                <w:rFonts w:ascii="Arial" w:hAnsi="Arial" w:cs="Arial"/>
                <w:sz w:val="22"/>
                <w:szCs w:val="22"/>
                <w:lang w:val="en-US" w:eastAsia="en-GB"/>
              </w:rPr>
              <w:t>F Thien</w:t>
            </w:r>
            <w:r w:rsidR="001564A4" w:rsidRPr="001B3E93">
              <w:rPr>
                <w:rFonts w:ascii="Arial" w:hAnsi="Arial" w:cs="Arial"/>
                <w:sz w:val="22"/>
                <w:szCs w:val="22"/>
                <w:vertAlign w:val="superscript"/>
                <w:lang w:val="en-US" w:eastAsia="en-GB"/>
              </w:rPr>
              <w:t>5</w:t>
            </w:r>
            <w:r w:rsidR="00E878C6" w:rsidRPr="001B3E93">
              <w:rPr>
                <w:rFonts w:ascii="Arial" w:hAnsi="Arial" w:cs="Arial"/>
                <w:sz w:val="22"/>
                <w:szCs w:val="22"/>
                <w:lang w:val="en-US" w:eastAsia="en-GB"/>
              </w:rPr>
              <w:t>, D Langton</w:t>
            </w:r>
            <w:r w:rsidR="00E878C6" w:rsidRPr="001B3E93">
              <w:rPr>
                <w:rFonts w:ascii="Arial" w:hAnsi="Arial" w:cs="Arial"/>
                <w:sz w:val="22"/>
                <w:szCs w:val="22"/>
                <w:vertAlign w:val="superscript"/>
                <w:lang w:val="en-US" w:eastAsia="en-GB"/>
              </w:rPr>
              <w:t>6</w:t>
            </w:r>
          </w:p>
        </w:tc>
      </w:tr>
      <w:tr w:rsidR="001564A4" w:rsidRPr="001B3E93" w14:paraId="385A19D9" w14:textId="77777777" w:rsidTr="000A28E2">
        <w:trPr>
          <w:trHeight w:val="136"/>
          <w:jc w:val="center"/>
        </w:trPr>
        <w:tc>
          <w:tcPr>
            <w:tcW w:w="8640" w:type="dxa"/>
            <w:shd w:val="clear" w:color="auto" w:fill="auto"/>
          </w:tcPr>
          <w:p w14:paraId="1643A330" w14:textId="7FF2EE1A" w:rsidR="001564A4" w:rsidRPr="00CE3FE7" w:rsidRDefault="001564A4" w:rsidP="000A28E2">
            <w:pPr>
              <w:spacing w:before="120" w:after="120"/>
              <w:rPr>
                <w:rFonts w:ascii="Arial" w:hAnsi="Arial" w:cs="Arial"/>
                <w:i/>
                <w:sz w:val="20"/>
                <w:szCs w:val="20"/>
                <w:lang w:val="en-US" w:eastAsia="en-GB"/>
              </w:rPr>
            </w:pPr>
            <w:r w:rsidRPr="00CE3FE7">
              <w:rPr>
                <w:rFonts w:ascii="Arial" w:hAnsi="Arial" w:cs="Arial"/>
                <w:i/>
                <w:sz w:val="20"/>
                <w:szCs w:val="20"/>
                <w:vertAlign w:val="superscript"/>
                <w:lang w:val="en-US" w:eastAsia="en-GB"/>
              </w:rPr>
              <w:t>1</w:t>
            </w:r>
            <w:r w:rsidR="005E402D" w:rsidRPr="00CE3FE7">
              <w:rPr>
                <w:rFonts w:ascii="Arial" w:hAnsi="Arial" w:cs="Arial"/>
                <w:i/>
                <w:iCs/>
                <w:sz w:val="20"/>
                <w:szCs w:val="20"/>
              </w:rPr>
              <w:t xml:space="preserve"> Department of Thoracic Medicine, Peninsula Health, Vic, Australia</w:t>
            </w:r>
          </w:p>
          <w:p w14:paraId="230774D2" w14:textId="1378C2D7" w:rsidR="0048771E" w:rsidRPr="00CE3FE7" w:rsidRDefault="0048771E" w:rsidP="0048771E">
            <w:pPr>
              <w:rPr>
                <w:rFonts w:ascii="Arial" w:hAnsi="Arial" w:cs="Arial"/>
                <w:i/>
                <w:iCs/>
                <w:color w:val="000000"/>
                <w:sz w:val="20"/>
                <w:szCs w:val="20"/>
                <w:lang w:eastAsia="en-GB"/>
              </w:rPr>
            </w:pPr>
            <w:r w:rsidRPr="00CE3FE7">
              <w:rPr>
                <w:rFonts w:ascii="Arial" w:hAnsi="Arial" w:cs="Arial"/>
                <w:i/>
                <w:iCs/>
                <w:color w:val="000000"/>
                <w:sz w:val="20"/>
                <w:szCs w:val="20"/>
                <w:vertAlign w:val="superscript"/>
                <w:lang w:eastAsia="en-GB"/>
              </w:rPr>
              <w:t>2</w:t>
            </w:r>
            <w:r w:rsidRPr="00CE3FE7">
              <w:rPr>
                <w:rFonts w:ascii="Arial" w:hAnsi="Arial" w:cs="Arial"/>
                <w:i/>
                <w:iCs/>
                <w:color w:val="000000"/>
                <w:sz w:val="20"/>
                <w:szCs w:val="20"/>
                <w:lang w:eastAsia="en-GB"/>
              </w:rPr>
              <w:t>Faculty of Medicine, Health and Human Sciences, Macquarie University, New South Wales, Australia</w:t>
            </w:r>
          </w:p>
          <w:p w14:paraId="6BCADC27" w14:textId="1AD77339" w:rsidR="001564A4" w:rsidRPr="00CE3FE7" w:rsidRDefault="001564A4" w:rsidP="000A28E2">
            <w:pPr>
              <w:spacing w:before="120" w:after="120"/>
              <w:rPr>
                <w:rFonts w:ascii="Arial" w:hAnsi="Arial" w:cs="Arial"/>
                <w:i/>
                <w:sz w:val="20"/>
                <w:szCs w:val="20"/>
                <w:lang w:val="en-US" w:eastAsia="en-GB"/>
              </w:rPr>
            </w:pPr>
            <w:r w:rsidRPr="00CE3FE7">
              <w:rPr>
                <w:rFonts w:ascii="Arial" w:hAnsi="Arial" w:cs="Arial"/>
                <w:i/>
                <w:sz w:val="20"/>
                <w:szCs w:val="20"/>
                <w:vertAlign w:val="superscript"/>
                <w:lang w:val="en-US" w:eastAsia="en-GB"/>
              </w:rPr>
              <w:t>3</w:t>
            </w:r>
            <w:r w:rsidR="00062F29" w:rsidRPr="00CE3FE7">
              <w:rPr>
                <w:rFonts w:ascii="Arial" w:hAnsi="Arial" w:cs="Arial"/>
                <w:i/>
                <w:sz w:val="20"/>
                <w:szCs w:val="20"/>
                <w:lang w:val="en-US" w:eastAsia="en-GB"/>
              </w:rPr>
              <w:t>Department of Respiratory and Sleep Medicine, Prince of Wales Hospital, New South Wales, Australia</w:t>
            </w:r>
          </w:p>
          <w:p w14:paraId="606CB874" w14:textId="566BFF43" w:rsidR="001564A4" w:rsidRPr="00CE3FE7" w:rsidRDefault="001564A4" w:rsidP="000A28E2">
            <w:pPr>
              <w:spacing w:before="120" w:after="120"/>
              <w:rPr>
                <w:rFonts w:ascii="Arial" w:hAnsi="Arial" w:cs="Arial"/>
                <w:i/>
                <w:sz w:val="20"/>
                <w:szCs w:val="20"/>
                <w:lang w:val="en-US" w:eastAsia="en-GB"/>
              </w:rPr>
            </w:pPr>
            <w:r w:rsidRPr="00CE3FE7">
              <w:rPr>
                <w:rFonts w:ascii="Arial" w:hAnsi="Arial" w:cs="Arial"/>
                <w:i/>
                <w:sz w:val="20"/>
                <w:szCs w:val="20"/>
                <w:vertAlign w:val="superscript"/>
                <w:lang w:val="en-US" w:eastAsia="en-GB"/>
              </w:rPr>
              <w:t>4</w:t>
            </w:r>
            <w:r w:rsidR="002A0D78" w:rsidRPr="00CE3FE7">
              <w:rPr>
                <w:rFonts w:ascii="Arial" w:hAnsi="Arial" w:cs="Arial"/>
                <w:i/>
                <w:sz w:val="20"/>
                <w:szCs w:val="20"/>
                <w:lang w:val="en-US" w:eastAsia="en-GB"/>
              </w:rPr>
              <w:t>Department of Thoracic Medicine, Royal Brisbane and Women’s Hospital, Queensland, Australia</w:t>
            </w:r>
          </w:p>
          <w:p w14:paraId="2CF2721E" w14:textId="4BB20164" w:rsidR="001564A4" w:rsidRPr="00CE3FE7" w:rsidRDefault="001564A4" w:rsidP="000A28E2">
            <w:pPr>
              <w:spacing w:before="120" w:after="120"/>
              <w:rPr>
                <w:rFonts w:ascii="Arial" w:hAnsi="Arial" w:cs="Arial"/>
                <w:i/>
                <w:sz w:val="20"/>
                <w:szCs w:val="20"/>
                <w:lang w:val="en-US" w:eastAsia="en-GB"/>
              </w:rPr>
            </w:pPr>
            <w:r w:rsidRPr="00CE3FE7">
              <w:rPr>
                <w:rFonts w:ascii="Arial" w:hAnsi="Arial" w:cs="Arial"/>
                <w:i/>
                <w:sz w:val="20"/>
                <w:szCs w:val="20"/>
                <w:vertAlign w:val="superscript"/>
                <w:lang w:val="en-US" w:eastAsia="en-GB"/>
              </w:rPr>
              <w:t>5</w:t>
            </w:r>
            <w:r w:rsidR="008C2ABF" w:rsidRPr="00CE3FE7">
              <w:rPr>
                <w:sz w:val="20"/>
                <w:szCs w:val="20"/>
              </w:rPr>
              <w:t xml:space="preserve"> </w:t>
            </w:r>
            <w:r w:rsidR="008C2ABF" w:rsidRPr="00CE3FE7">
              <w:rPr>
                <w:rFonts w:ascii="Arial" w:hAnsi="Arial" w:cs="Arial"/>
                <w:i/>
                <w:sz w:val="20"/>
                <w:szCs w:val="20"/>
                <w:lang w:val="en-US" w:eastAsia="en-GB"/>
              </w:rPr>
              <w:t>Box Hill Hospital, Eastern Health and Monash University, Melbourne, VIC Australia</w:t>
            </w:r>
          </w:p>
          <w:p w14:paraId="45ED36BF" w14:textId="2D37464D" w:rsidR="0048771E" w:rsidRPr="001B3E93" w:rsidRDefault="00965EB4" w:rsidP="000A28E2">
            <w:pPr>
              <w:spacing w:before="120" w:after="120"/>
              <w:rPr>
                <w:rFonts w:ascii="Arial" w:hAnsi="Arial" w:cs="Arial"/>
                <w:i/>
                <w:sz w:val="22"/>
                <w:szCs w:val="22"/>
                <w:lang w:val="en-US" w:eastAsia="en-GB"/>
              </w:rPr>
            </w:pPr>
            <w:r w:rsidRPr="00CE3FE7">
              <w:rPr>
                <w:rFonts w:ascii="Arial" w:hAnsi="Arial" w:cs="Arial"/>
                <w:i/>
                <w:sz w:val="20"/>
                <w:szCs w:val="20"/>
                <w:vertAlign w:val="superscript"/>
                <w:lang w:val="en-US" w:eastAsia="en-GB"/>
              </w:rPr>
              <w:t>6</w:t>
            </w:r>
            <w:r w:rsidRPr="00CE3FE7">
              <w:rPr>
                <w:rFonts w:ascii="Arial" w:hAnsi="Arial" w:cs="Arial"/>
                <w:i/>
                <w:sz w:val="20"/>
                <w:szCs w:val="20"/>
                <w:lang w:val="en-US" w:eastAsia="en-GB"/>
              </w:rPr>
              <w:t>Peninsula Clinical School,</w:t>
            </w:r>
            <w:r w:rsidRPr="00CE3FE7">
              <w:rPr>
                <w:rFonts w:ascii="Arial" w:hAnsi="Arial" w:cs="Arial"/>
                <w:i/>
                <w:sz w:val="20"/>
                <w:szCs w:val="20"/>
                <w:vertAlign w:val="superscript"/>
                <w:lang w:val="en-US" w:eastAsia="en-GB"/>
              </w:rPr>
              <w:t xml:space="preserve"> </w:t>
            </w:r>
            <w:r w:rsidRPr="00CE3FE7">
              <w:rPr>
                <w:rFonts w:ascii="Arial" w:hAnsi="Arial" w:cs="Arial"/>
                <w:i/>
                <w:sz w:val="20"/>
                <w:szCs w:val="20"/>
                <w:lang w:val="en-US" w:eastAsia="en-GB"/>
              </w:rPr>
              <w:t xml:space="preserve">Faculty of Medicine, Nursing and Health Sciences, Monash University, </w:t>
            </w:r>
            <w:r w:rsidR="00853E57">
              <w:rPr>
                <w:rFonts w:ascii="Arial" w:hAnsi="Arial" w:cs="Arial"/>
                <w:i/>
                <w:sz w:val="20"/>
                <w:szCs w:val="20"/>
                <w:lang w:val="en-US" w:eastAsia="en-GB"/>
              </w:rPr>
              <w:t>Victoria</w:t>
            </w:r>
            <w:r w:rsidRPr="00CE3FE7">
              <w:rPr>
                <w:rFonts w:ascii="Arial" w:hAnsi="Arial" w:cs="Arial"/>
                <w:i/>
                <w:sz w:val="20"/>
                <w:szCs w:val="20"/>
                <w:lang w:val="en-US" w:eastAsia="en-GB"/>
              </w:rPr>
              <w:t>, Australia</w:t>
            </w:r>
          </w:p>
        </w:tc>
      </w:tr>
      <w:tr w:rsidR="001564A4" w:rsidRPr="001B3E93" w14:paraId="6DAF615A" w14:textId="77777777" w:rsidTr="00B80B04">
        <w:trPr>
          <w:trHeight w:hRule="exact" w:val="9704"/>
          <w:jc w:val="center"/>
        </w:trPr>
        <w:tc>
          <w:tcPr>
            <w:tcW w:w="8640" w:type="dxa"/>
            <w:shd w:val="clear" w:color="auto" w:fill="auto"/>
          </w:tcPr>
          <w:p w14:paraId="24019EB1" w14:textId="77777777" w:rsidR="00C7211E" w:rsidRPr="001B3E93" w:rsidRDefault="001564A4" w:rsidP="00C7211E">
            <w:pPr>
              <w:jc w:val="both"/>
              <w:rPr>
                <w:rFonts w:ascii="Arial" w:hAnsi="Arial" w:cs="Arial"/>
                <w:sz w:val="22"/>
                <w:szCs w:val="22"/>
              </w:rPr>
            </w:pPr>
            <w:r w:rsidRPr="001B3E93">
              <w:rPr>
                <w:rStyle w:val="A4"/>
                <w:rFonts w:ascii="Arial" w:hAnsi="Arial" w:cs="Arial"/>
                <w:b/>
                <w:bCs/>
              </w:rPr>
              <w:t xml:space="preserve">Introduction/Aim: </w:t>
            </w:r>
            <w:r w:rsidR="00C7211E" w:rsidRPr="001B3E93">
              <w:rPr>
                <w:rFonts w:ascii="Arial" w:hAnsi="Arial" w:cs="Arial"/>
                <w:sz w:val="22"/>
                <w:szCs w:val="22"/>
              </w:rPr>
              <w:t>Using the Asthma Control Questionnaire (ACQ), about 70% of patients with difficult-to-treat asthma will show an improvement after bronchial thermoplasty (BT).  However, the reasons for non-response in the remaining 30% have not been elucidated. In this study we sought to re-examine response rates using multiple outcome parameters.</w:t>
            </w:r>
          </w:p>
          <w:p w14:paraId="5029BAE6" w14:textId="3323B8A8" w:rsidR="001564A4" w:rsidRPr="001B3E93" w:rsidRDefault="001564A4" w:rsidP="009C410D">
            <w:pPr>
              <w:pStyle w:val="Pa12"/>
              <w:jc w:val="both"/>
              <w:rPr>
                <w:rStyle w:val="A4"/>
                <w:bCs/>
              </w:rPr>
            </w:pPr>
            <w:r w:rsidRPr="001B3E93">
              <w:rPr>
                <w:rStyle w:val="A4"/>
                <w:b/>
                <w:bCs/>
              </w:rPr>
              <w:t xml:space="preserve">Methods: </w:t>
            </w:r>
            <w:r w:rsidR="00010386" w:rsidRPr="001B3E93">
              <w:rPr>
                <w:sz w:val="22"/>
                <w:szCs w:val="22"/>
              </w:rPr>
              <w:t>The data of the first 100 patients recorded in the Australian Bronchial Thermoplasty Registry was examined for baseline demographic and clinical characteristics, as well as outcomes measured at 6 and 12 months post-BT (including ACQ, exacerbation frequency, medication usage and spirometry). Patients were drawn from four Australian hospital institutions. Treatment response in key outcome areas was analysed with analysis of variance for repeated measures, and unpaired t-tests used to compare responders and non-responders.</w:t>
            </w:r>
          </w:p>
          <w:p w14:paraId="6FF2DADD" w14:textId="02C06474" w:rsidR="00D73045" w:rsidRPr="001B3E93" w:rsidRDefault="001564A4" w:rsidP="00D73045">
            <w:pPr>
              <w:jc w:val="both"/>
              <w:rPr>
                <w:rFonts w:ascii="Arial" w:hAnsi="Arial" w:cs="Arial"/>
                <w:sz w:val="22"/>
                <w:szCs w:val="22"/>
              </w:rPr>
            </w:pPr>
            <w:r w:rsidRPr="001B3E93">
              <w:rPr>
                <w:rStyle w:val="A4"/>
                <w:rFonts w:ascii="Arial" w:hAnsi="Arial" w:cs="Arial"/>
                <w:b/>
                <w:bCs/>
              </w:rPr>
              <w:t xml:space="preserve">Results: </w:t>
            </w:r>
            <w:r w:rsidR="00D55458">
              <w:rPr>
                <w:rFonts w:ascii="Arial" w:hAnsi="Arial" w:cs="Arial"/>
                <w:sz w:val="22"/>
                <w:szCs w:val="22"/>
              </w:rPr>
              <w:t xml:space="preserve">The table below </w:t>
            </w:r>
            <w:r w:rsidR="00D73045" w:rsidRPr="001B3E93">
              <w:rPr>
                <w:rFonts w:ascii="Arial" w:hAnsi="Arial" w:cs="Arial"/>
                <w:sz w:val="22"/>
                <w:szCs w:val="22"/>
              </w:rPr>
              <w:t xml:space="preserve">presents the characteristics of the group and the response to treatment. </w:t>
            </w:r>
          </w:p>
          <w:tbl>
            <w:tblPr>
              <w:tblStyle w:val="TableGrid"/>
              <w:tblW w:w="9016" w:type="dxa"/>
              <w:tblLayout w:type="fixed"/>
              <w:tblLook w:val="04A0" w:firstRow="1" w:lastRow="0" w:firstColumn="1" w:lastColumn="0" w:noHBand="0" w:noVBand="1"/>
            </w:tblPr>
            <w:tblGrid>
              <w:gridCol w:w="2432"/>
              <w:gridCol w:w="1701"/>
              <w:gridCol w:w="1559"/>
              <w:gridCol w:w="1559"/>
              <w:gridCol w:w="1765"/>
            </w:tblGrid>
            <w:tr w:rsidR="00D73045" w:rsidRPr="001B3E93" w14:paraId="265650C4" w14:textId="77777777" w:rsidTr="009C410D">
              <w:tc>
                <w:tcPr>
                  <w:tcW w:w="2432" w:type="dxa"/>
                </w:tcPr>
                <w:p w14:paraId="52C347F2" w14:textId="77777777" w:rsidR="00D73045" w:rsidRPr="001B3E93" w:rsidRDefault="00D73045" w:rsidP="00D73045">
                  <w:pPr>
                    <w:rPr>
                      <w:rFonts w:ascii="Arial" w:hAnsi="Arial" w:cs="Arial"/>
                      <w:sz w:val="22"/>
                      <w:szCs w:val="22"/>
                    </w:rPr>
                  </w:pPr>
                </w:p>
              </w:tc>
              <w:tc>
                <w:tcPr>
                  <w:tcW w:w="1701" w:type="dxa"/>
                </w:tcPr>
                <w:p w14:paraId="28ABEBE7" w14:textId="77777777" w:rsidR="00D73045" w:rsidRPr="001B3E93" w:rsidRDefault="00D73045" w:rsidP="00D73045">
                  <w:pPr>
                    <w:jc w:val="center"/>
                    <w:rPr>
                      <w:rFonts w:ascii="Arial" w:hAnsi="Arial" w:cs="Arial"/>
                      <w:b/>
                      <w:bCs/>
                      <w:sz w:val="22"/>
                      <w:szCs w:val="22"/>
                    </w:rPr>
                  </w:pPr>
                  <w:r w:rsidRPr="001B3E93">
                    <w:rPr>
                      <w:rFonts w:ascii="Arial" w:hAnsi="Arial" w:cs="Arial"/>
                      <w:b/>
                      <w:bCs/>
                      <w:sz w:val="22"/>
                      <w:szCs w:val="22"/>
                    </w:rPr>
                    <w:t>baseline</w:t>
                  </w:r>
                </w:p>
              </w:tc>
              <w:tc>
                <w:tcPr>
                  <w:tcW w:w="1559" w:type="dxa"/>
                </w:tcPr>
                <w:p w14:paraId="6685C05A" w14:textId="77777777" w:rsidR="00D73045" w:rsidRPr="001B3E93" w:rsidRDefault="00D73045" w:rsidP="00D73045">
                  <w:pPr>
                    <w:jc w:val="center"/>
                    <w:rPr>
                      <w:rFonts w:ascii="Arial" w:hAnsi="Arial" w:cs="Arial"/>
                      <w:b/>
                      <w:bCs/>
                      <w:sz w:val="22"/>
                      <w:szCs w:val="22"/>
                    </w:rPr>
                  </w:pPr>
                  <w:r w:rsidRPr="001B3E93">
                    <w:rPr>
                      <w:rFonts w:ascii="Arial" w:hAnsi="Arial" w:cs="Arial"/>
                      <w:b/>
                      <w:bCs/>
                      <w:sz w:val="22"/>
                      <w:szCs w:val="22"/>
                    </w:rPr>
                    <w:t>6 months</w:t>
                  </w:r>
                </w:p>
              </w:tc>
              <w:tc>
                <w:tcPr>
                  <w:tcW w:w="1559" w:type="dxa"/>
                </w:tcPr>
                <w:p w14:paraId="343128D1" w14:textId="77777777" w:rsidR="00D73045" w:rsidRPr="001B3E93" w:rsidRDefault="00D73045" w:rsidP="00D73045">
                  <w:pPr>
                    <w:jc w:val="center"/>
                    <w:rPr>
                      <w:rFonts w:ascii="Arial" w:hAnsi="Arial" w:cs="Arial"/>
                      <w:b/>
                      <w:bCs/>
                      <w:sz w:val="22"/>
                      <w:szCs w:val="22"/>
                    </w:rPr>
                  </w:pPr>
                  <w:r w:rsidRPr="001B3E93">
                    <w:rPr>
                      <w:rFonts w:ascii="Arial" w:hAnsi="Arial" w:cs="Arial"/>
                      <w:b/>
                      <w:bCs/>
                      <w:sz w:val="22"/>
                      <w:szCs w:val="22"/>
                    </w:rPr>
                    <w:t xml:space="preserve">12 months </w:t>
                  </w:r>
                </w:p>
              </w:tc>
              <w:tc>
                <w:tcPr>
                  <w:tcW w:w="1765" w:type="dxa"/>
                </w:tcPr>
                <w:p w14:paraId="5CF7B7E2" w14:textId="77777777" w:rsidR="00D73045" w:rsidRPr="001B3E93" w:rsidRDefault="00D73045" w:rsidP="00D73045">
                  <w:pPr>
                    <w:jc w:val="center"/>
                    <w:rPr>
                      <w:rFonts w:ascii="Arial" w:hAnsi="Arial" w:cs="Arial"/>
                      <w:b/>
                      <w:bCs/>
                      <w:sz w:val="22"/>
                      <w:szCs w:val="22"/>
                    </w:rPr>
                  </w:pPr>
                  <w:r w:rsidRPr="001B3E93">
                    <w:rPr>
                      <w:rFonts w:ascii="Arial" w:hAnsi="Arial" w:cs="Arial"/>
                      <w:b/>
                      <w:bCs/>
                      <w:sz w:val="22"/>
                      <w:szCs w:val="22"/>
                    </w:rPr>
                    <w:t>p</w:t>
                  </w:r>
                </w:p>
              </w:tc>
            </w:tr>
            <w:tr w:rsidR="00D73045" w:rsidRPr="001B3E93" w14:paraId="51198F41" w14:textId="77777777" w:rsidTr="009C410D">
              <w:tc>
                <w:tcPr>
                  <w:tcW w:w="2432" w:type="dxa"/>
                </w:tcPr>
                <w:p w14:paraId="586525C0" w14:textId="77777777" w:rsidR="00D73045" w:rsidRPr="001B3E93" w:rsidRDefault="00D73045" w:rsidP="00D73045">
                  <w:pPr>
                    <w:jc w:val="right"/>
                    <w:rPr>
                      <w:rFonts w:ascii="Arial" w:hAnsi="Arial" w:cs="Arial"/>
                      <w:sz w:val="22"/>
                      <w:szCs w:val="22"/>
                    </w:rPr>
                  </w:pPr>
                  <w:r w:rsidRPr="001B3E93">
                    <w:rPr>
                      <w:rFonts w:ascii="Arial" w:hAnsi="Arial" w:cs="Arial"/>
                      <w:sz w:val="22"/>
                      <w:szCs w:val="22"/>
                    </w:rPr>
                    <w:t>ACQ</w:t>
                  </w:r>
                </w:p>
              </w:tc>
              <w:tc>
                <w:tcPr>
                  <w:tcW w:w="1701" w:type="dxa"/>
                </w:tcPr>
                <w:p w14:paraId="3B661995"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3.1</w:t>
                  </w:r>
                  <w:r w:rsidRPr="001B3E93">
                    <w:rPr>
                      <w:rFonts w:ascii="Arial" w:hAnsi="Arial" w:cs="Arial"/>
                      <w:sz w:val="22"/>
                      <w:szCs w:val="22"/>
                    </w:rPr>
                    <w:sym w:font="Symbol" w:char="F0B1"/>
                  </w:r>
                  <w:r w:rsidRPr="001B3E93">
                    <w:rPr>
                      <w:rFonts w:ascii="Arial" w:hAnsi="Arial" w:cs="Arial"/>
                      <w:sz w:val="22"/>
                      <w:szCs w:val="22"/>
                    </w:rPr>
                    <w:t>0.9</w:t>
                  </w:r>
                </w:p>
              </w:tc>
              <w:tc>
                <w:tcPr>
                  <w:tcW w:w="1559" w:type="dxa"/>
                </w:tcPr>
                <w:p w14:paraId="56F03302"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1.7</w:t>
                  </w:r>
                  <w:r w:rsidRPr="001B3E93">
                    <w:rPr>
                      <w:rFonts w:ascii="Arial" w:hAnsi="Arial" w:cs="Arial"/>
                      <w:sz w:val="22"/>
                      <w:szCs w:val="22"/>
                    </w:rPr>
                    <w:sym w:font="Symbol" w:char="F0B1"/>
                  </w:r>
                  <w:r w:rsidRPr="001B3E93">
                    <w:rPr>
                      <w:rFonts w:ascii="Arial" w:hAnsi="Arial" w:cs="Arial"/>
                      <w:sz w:val="22"/>
                      <w:szCs w:val="22"/>
                    </w:rPr>
                    <w:t>1.1</w:t>
                  </w:r>
                </w:p>
              </w:tc>
              <w:tc>
                <w:tcPr>
                  <w:tcW w:w="1559" w:type="dxa"/>
                </w:tcPr>
                <w:p w14:paraId="57E1B150"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1.6</w:t>
                  </w:r>
                  <w:r w:rsidRPr="001B3E93">
                    <w:rPr>
                      <w:rFonts w:ascii="Arial" w:hAnsi="Arial" w:cs="Arial"/>
                      <w:sz w:val="22"/>
                      <w:szCs w:val="22"/>
                    </w:rPr>
                    <w:sym w:font="Symbol" w:char="F0B1"/>
                  </w:r>
                  <w:r w:rsidRPr="001B3E93">
                    <w:rPr>
                      <w:rFonts w:ascii="Arial" w:hAnsi="Arial" w:cs="Arial"/>
                      <w:sz w:val="22"/>
                      <w:szCs w:val="22"/>
                    </w:rPr>
                    <w:t>1.1</w:t>
                  </w:r>
                </w:p>
              </w:tc>
              <w:tc>
                <w:tcPr>
                  <w:tcW w:w="1765" w:type="dxa"/>
                </w:tcPr>
                <w:p w14:paraId="085C1EE3"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0.001</w:t>
                  </w:r>
                </w:p>
              </w:tc>
            </w:tr>
            <w:tr w:rsidR="00D73045" w:rsidRPr="001B3E93" w14:paraId="45F92682" w14:textId="77777777" w:rsidTr="009C410D">
              <w:tc>
                <w:tcPr>
                  <w:tcW w:w="2432" w:type="dxa"/>
                </w:tcPr>
                <w:p w14:paraId="5C999192" w14:textId="06010FE8" w:rsidR="00D73045" w:rsidRPr="001B3E93" w:rsidRDefault="00D73045" w:rsidP="00D73045">
                  <w:pPr>
                    <w:jc w:val="right"/>
                    <w:rPr>
                      <w:rFonts w:ascii="Arial" w:hAnsi="Arial" w:cs="Arial"/>
                      <w:sz w:val="22"/>
                      <w:szCs w:val="22"/>
                    </w:rPr>
                  </w:pPr>
                  <w:r w:rsidRPr="001B3E93">
                    <w:rPr>
                      <w:rFonts w:ascii="Arial" w:hAnsi="Arial" w:cs="Arial"/>
                      <w:sz w:val="22"/>
                      <w:szCs w:val="22"/>
                    </w:rPr>
                    <w:t>Exacerbations (6mth</w:t>
                  </w:r>
                  <w:r w:rsidR="009C410D">
                    <w:rPr>
                      <w:rFonts w:ascii="Arial" w:hAnsi="Arial" w:cs="Arial"/>
                      <w:sz w:val="22"/>
                      <w:szCs w:val="22"/>
                    </w:rPr>
                    <w:t>s</w:t>
                  </w:r>
                  <w:r w:rsidRPr="001B3E93">
                    <w:rPr>
                      <w:rFonts w:ascii="Arial" w:hAnsi="Arial" w:cs="Arial"/>
                      <w:sz w:val="22"/>
                      <w:szCs w:val="22"/>
                    </w:rPr>
                    <w:t>)</w:t>
                  </w:r>
                </w:p>
              </w:tc>
              <w:tc>
                <w:tcPr>
                  <w:tcW w:w="1701" w:type="dxa"/>
                </w:tcPr>
                <w:p w14:paraId="0A726988"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3.7</w:t>
                  </w:r>
                  <w:r w:rsidRPr="001B3E93">
                    <w:rPr>
                      <w:rFonts w:ascii="Arial" w:hAnsi="Arial" w:cs="Arial"/>
                      <w:sz w:val="22"/>
                      <w:szCs w:val="22"/>
                    </w:rPr>
                    <w:sym w:font="Symbol" w:char="F0B1"/>
                  </w:r>
                  <w:r w:rsidRPr="001B3E93">
                    <w:rPr>
                      <w:rFonts w:ascii="Arial" w:hAnsi="Arial" w:cs="Arial"/>
                      <w:sz w:val="22"/>
                      <w:szCs w:val="22"/>
                    </w:rPr>
                    <w:t>3.5</w:t>
                  </w:r>
                </w:p>
              </w:tc>
              <w:tc>
                <w:tcPr>
                  <w:tcW w:w="1559" w:type="dxa"/>
                </w:tcPr>
                <w:p w14:paraId="62473190"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0.8</w:t>
                  </w:r>
                  <w:r w:rsidRPr="001B3E93">
                    <w:rPr>
                      <w:rFonts w:ascii="Arial" w:hAnsi="Arial" w:cs="Arial"/>
                      <w:sz w:val="22"/>
                      <w:szCs w:val="22"/>
                    </w:rPr>
                    <w:sym w:font="Symbol" w:char="F0B1"/>
                  </w:r>
                  <w:r w:rsidRPr="001B3E93">
                    <w:rPr>
                      <w:rFonts w:ascii="Arial" w:hAnsi="Arial" w:cs="Arial"/>
                      <w:sz w:val="22"/>
                      <w:szCs w:val="22"/>
                    </w:rPr>
                    <w:t>1.2</w:t>
                  </w:r>
                </w:p>
              </w:tc>
              <w:tc>
                <w:tcPr>
                  <w:tcW w:w="1559" w:type="dxa"/>
                </w:tcPr>
                <w:p w14:paraId="60455320"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0.8</w:t>
                  </w:r>
                  <w:r w:rsidRPr="001B3E93">
                    <w:rPr>
                      <w:rFonts w:ascii="Arial" w:hAnsi="Arial" w:cs="Arial"/>
                      <w:sz w:val="22"/>
                      <w:szCs w:val="22"/>
                    </w:rPr>
                    <w:sym w:font="Symbol" w:char="F0B1"/>
                  </w:r>
                  <w:r w:rsidRPr="001B3E93">
                    <w:rPr>
                      <w:rFonts w:ascii="Arial" w:hAnsi="Arial" w:cs="Arial"/>
                      <w:sz w:val="22"/>
                      <w:szCs w:val="22"/>
                    </w:rPr>
                    <w:t>1.3</w:t>
                  </w:r>
                </w:p>
              </w:tc>
              <w:tc>
                <w:tcPr>
                  <w:tcW w:w="1765" w:type="dxa"/>
                </w:tcPr>
                <w:p w14:paraId="5E92EF74"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0.001</w:t>
                  </w:r>
                </w:p>
              </w:tc>
            </w:tr>
            <w:tr w:rsidR="00D73045" w:rsidRPr="001B3E93" w14:paraId="4DE66587" w14:textId="77777777" w:rsidTr="009C410D">
              <w:tc>
                <w:tcPr>
                  <w:tcW w:w="2432" w:type="dxa"/>
                </w:tcPr>
                <w:p w14:paraId="02471C40" w14:textId="29176B0E" w:rsidR="00D73045" w:rsidRPr="001B3E93" w:rsidRDefault="00D73045" w:rsidP="00D73045">
                  <w:pPr>
                    <w:jc w:val="right"/>
                    <w:rPr>
                      <w:rFonts w:ascii="Arial" w:hAnsi="Arial" w:cs="Arial"/>
                      <w:sz w:val="22"/>
                      <w:szCs w:val="22"/>
                    </w:rPr>
                  </w:pPr>
                  <w:r w:rsidRPr="001B3E93">
                    <w:rPr>
                      <w:rFonts w:ascii="Arial" w:hAnsi="Arial" w:cs="Arial"/>
                      <w:sz w:val="22"/>
                      <w:szCs w:val="22"/>
                    </w:rPr>
                    <w:t>PNL (mg/d)</w:t>
                  </w:r>
                </w:p>
              </w:tc>
              <w:tc>
                <w:tcPr>
                  <w:tcW w:w="1701" w:type="dxa"/>
                </w:tcPr>
                <w:p w14:paraId="7D13809D"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6.9</w:t>
                  </w:r>
                  <w:r w:rsidRPr="001B3E93">
                    <w:rPr>
                      <w:rFonts w:ascii="Arial" w:hAnsi="Arial" w:cs="Arial"/>
                      <w:sz w:val="22"/>
                      <w:szCs w:val="22"/>
                    </w:rPr>
                    <w:sym w:font="Symbol" w:char="F0B1"/>
                  </w:r>
                  <w:r w:rsidRPr="001B3E93">
                    <w:rPr>
                      <w:rFonts w:ascii="Arial" w:hAnsi="Arial" w:cs="Arial"/>
                      <w:sz w:val="22"/>
                      <w:szCs w:val="22"/>
                    </w:rPr>
                    <w:t>8.5</w:t>
                  </w:r>
                </w:p>
              </w:tc>
              <w:tc>
                <w:tcPr>
                  <w:tcW w:w="1559" w:type="dxa"/>
                </w:tcPr>
                <w:p w14:paraId="7039FE2C"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 xml:space="preserve">3.3 </w:t>
                  </w:r>
                  <w:r w:rsidRPr="001B3E93">
                    <w:rPr>
                      <w:rFonts w:ascii="Arial" w:hAnsi="Arial" w:cs="Arial"/>
                      <w:sz w:val="22"/>
                      <w:szCs w:val="22"/>
                    </w:rPr>
                    <w:sym w:font="Symbol" w:char="F0B1"/>
                  </w:r>
                  <w:r w:rsidRPr="001B3E93">
                    <w:rPr>
                      <w:rFonts w:ascii="Arial" w:hAnsi="Arial" w:cs="Arial"/>
                      <w:sz w:val="22"/>
                      <w:szCs w:val="22"/>
                    </w:rPr>
                    <w:t>5.6</w:t>
                  </w:r>
                </w:p>
              </w:tc>
              <w:tc>
                <w:tcPr>
                  <w:tcW w:w="1559" w:type="dxa"/>
                </w:tcPr>
                <w:p w14:paraId="7BD8C78E"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 xml:space="preserve">3.3 </w:t>
                  </w:r>
                  <w:r w:rsidRPr="001B3E93">
                    <w:rPr>
                      <w:rFonts w:ascii="Arial" w:hAnsi="Arial" w:cs="Arial"/>
                      <w:sz w:val="22"/>
                      <w:szCs w:val="22"/>
                    </w:rPr>
                    <w:sym w:font="Symbol" w:char="F0B1"/>
                  </w:r>
                  <w:r w:rsidRPr="001B3E93">
                    <w:rPr>
                      <w:rFonts w:ascii="Arial" w:hAnsi="Arial" w:cs="Arial"/>
                      <w:sz w:val="22"/>
                      <w:szCs w:val="22"/>
                    </w:rPr>
                    <w:t xml:space="preserve"> 5.8</w:t>
                  </w:r>
                </w:p>
              </w:tc>
              <w:tc>
                <w:tcPr>
                  <w:tcW w:w="1765" w:type="dxa"/>
                </w:tcPr>
                <w:p w14:paraId="466C903E"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0.001</w:t>
                  </w:r>
                </w:p>
              </w:tc>
            </w:tr>
            <w:tr w:rsidR="00D73045" w:rsidRPr="001B3E93" w14:paraId="40B12A87" w14:textId="77777777" w:rsidTr="009C410D">
              <w:tc>
                <w:tcPr>
                  <w:tcW w:w="2432" w:type="dxa"/>
                </w:tcPr>
                <w:p w14:paraId="1AD1BF11" w14:textId="77777777" w:rsidR="00D73045" w:rsidRPr="001B3E93" w:rsidRDefault="00D73045" w:rsidP="00D73045">
                  <w:pPr>
                    <w:jc w:val="right"/>
                    <w:rPr>
                      <w:rFonts w:ascii="Arial" w:hAnsi="Arial" w:cs="Arial"/>
                      <w:sz w:val="22"/>
                      <w:szCs w:val="22"/>
                    </w:rPr>
                  </w:pPr>
                  <w:r w:rsidRPr="001B3E93">
                    <w:rPr>
                      <w:rFonts w:ascii="Arial" w:hAnsi="Arial" w:cs="Arial"/>
                      <w:sz w:val="22"/>
                      <w:szCs w:val="22"/>
                    </w:rPr>
                    <w:t>SABA (puffs/d)</w:t>
                  </w:r>
                </w:p>
              </w:tc>
              <w:tc>
                <w:tcPr>
                  <w:tcW w:w="1701" w:type="dxa"/>
                </w:tcPr>
                <w:p w14:paraId="7B9BAC8A"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9.6</w:t>
                  </w:r>
                  <w:r w:rsidRPr="001B3E93">
                    <w:rPr>
                      <w:rFonts w:ascii="Arial" w:hAnsi="Arial" w:cs="Arial"/>
                      <w:sz w:val="22"/>
                      <w:szCs w:val="22"/>
                    </w:rPr>
                    <w:sym w:font="Symbol" w:char="F0B1"/>
                  </w:r>
                  <w:r w:rsidRPr="001B3E93">
                    <w:rPr>
                      <w:rFonts w:ascii="Arial" w:hAnsi="Arial" w:cs="Arial"/>
                      <w:sz w:val="22"/>
                      <w:szCs w:val="22"/>
                    </w:rPr>
                    <w:t>7.3</w:t>
                  </w:r>
                </w:p>
              </w:tc>
              <w:tc>
                <w:tcPr>
                  <w:tcW w:w="1559" w:type="dxa"/>
                </w:tcPr>
                <w:p w14:paraId="1E372145"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3.9</w:t>
                  </w:r>
                  <w:r w:rsidRPr="001B3E93">
                    <w:rPr>
                      <w:rFonts w:ascii="Arial" w:hAnsi="Arial" w:cs="Arial"/>
                      <w:sz w:val="22"/>
                      <w:szCs w:val="22"/>
                    </w:rPr>
                    <w:sym w:font="Symbol" w:char="F0B1"/>
                  </w:r>
                  <w:r w:rsidRPr="001B3E93">
                    <w:rPr>
                      <w:rFonts w:ascii="Arial" w:hAnsi="Arial" w:cs="Arial"/>
                      <w:sz w:val="22"/>
                      <w:szCs w:val="22"/>
                    </w:rPr>
                    <w:t>5.9</w:t>
                  </w:r>
                </w:p>
              </w:tc>
              <w:tc>
                <w:tcPr>
                  <w:tcW w:w="1559" w:type="dxa"/>
                </w:tcPr>
                <w:p w14:paraId="440426B6"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3.4</w:t>
                  </w:r>
                  <w:r w:rsidRPr="001B3E93">
                    <w:rPr>
                      <w:rFonts w:ascii="Arial" w:hAnsi="Arial" w:cs="Arial"/>
                      <w:sz w:val="22"/>
                      <w:szCs w:val="22"/>
                    </w:rPr>
                    <w:sym w:font="Symbol" w:char="F0B1"/>
                  </w:r>
                  <w:r w:rsidRPr="001B3E93">
                    <w:rPr>
                      <w:rFonts w:ascii="Arial" w:hAnsi="Arial" w:cs="Arial"/>
                      <w:sz w:val="22"/>
                      <w:szCs w:val="22"/>
                    </w:rPr>
                    <w:t>4.9</w:t>
                  </w:r>
                </w:p>
              </w:tc>
              <w:tc>
                <w:tcPr>
                  <w:tcW w:w="1765" w:type="dxa"/>
                </w:tcPr>
                <w:p w14:paraId="6E4DFB5E"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0.001</w:t>
                  </w:r>
                </w:p>
              </w:tc>
            </w:tr>
            <w:tr w:rsidR="00D73045" w:rsidRPr="001B3E93" w14:paraId="6E9F79A5" w14:textId="77777777" w:rsidTr="009C410D">
              <w:tc>
                <w:tcPr>
                  <w:tcW w:w="2432" w:type="dxa"/>
                </w:tcPr>
                <w:p w14:paraId="67B94DBD" w14:textId="77777777" w:rsidR="00D73045" w:rsidRPr="001B3E93" w:rsidRDefault="00D73045" w:rsidP="00D73045">
                  <w:pPr>
                    <w:jc w:val="right"/>
                    <w:rPr>
                      <w:rFonts w:ascii="Arial" w:hAnsi="Arial" w:cs="Arial"/>
                      <w:sz w:val="22"/>
                      <w:szCs w:val="22"/>
                    </w:rPr>
                  </w:pPr>
                  <w:r w:rsidRPr="001B3E93">
                    <w:rPr>
                      <w:rFonts w:ascii="Arial" w:hAnsi="Arial" w:cs="Arial"/>
                      <w:sz w:val="22"/>
                      <w:szCs w:val="22"/>
                    </w:rPr>
                    <w:t>FEV1 (% pred)</w:t>
                  </w:r>
                </w:p>
              </w:tc>
              <w:tc>
                <w:tcPr>
                  <w:tcW w:w="1701" w:type="dxa"/>
                </w:tcPr>
                <w:p w14:paraId="4AE83D8D"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54.8</w:t>
                  </w:r>
                  <w:r w:rsidRPr="001B3E93">
                    <w:rPr>
                      <w:rFonts w:ascii="Arial" w:hAnsi="Arial" w:cs="Arial"/>
                      <w:sz w:val="22"/>
                      <w:szCs w:val="22"/>
                    </w:rPr>
                    <w:sym w:font="Symbol" w:char="F0B1"/>
                  </w:r>
                  <w:r w:rsidRPr="001B3E93">
                    <w:rPr>
                      <w:rFonts w:ascii="Arial" w:hAnsi="Arial" w:cs="Arial"/>
                      <w:sz w:val="22"/>
                      <w:szCs w:val="22"/>
                    </w:rPr>
                    <w:t>18.5</w:t>
                  </w:r>
                </w:p>
              </w:tc>
              <w:tc>
                <w:tcPr>
                  <w:tcW w:w="1559" w:type="dxa"/>
                </w:tcPr>
                <w:p w14:paraId="4A8E27A8"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58.3</w:t>
                  </w:r>
                  <w:r w:rsidRPr="001B3E93">
                    <w:rPr>
                      <w:rFonts w:ascii="Arial" w:hAnsi="Arial" w:cs="Arial"/>
                      <w:sz w:val="22"/>
                      <w:szCs w:val="22"/>
                    </w:rPr>
                    <w:sym w:font="Symbol" w:char="F0B1"/>
                  </w:r>
                  <w:r w:rsidRPr="001B3E93">
                    <w:rPr>
                      <w:rFonts w:ascii="Arial" w:hAnsi="Arial" w:cs="Arial"/>
                      <w:sz w:val="22"/>
                      <w:szCs w:val="22"/>
                    </w:rPr>
                    <w:t>19.7</w:t>
                  </w:r>
                </w:p>
              </w:tc>
              <w:tc>
                <w:tcPr>
                  <w:tcW w:w="1559" w:type="dxa"/>
                </w:tcPr>
                <w:p w14:paraId="4A944547"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58.7</w:t>
                  </w:r>
                  <w:r w:rsidRPr="001B3E93">
                    <w:rPr>
                      <w:rFonts w:ascii="Arial" w:hAnsi="Arial" w:cs="Arial"/>
                      <w:sz w:val="22"/>
                      <w:szCs w:val="22"/>
                    </w:rPr>
                    <w:sym w:font="Symbol" w:char="F0B1"/>
                  </w:r>
                  <w:r w:rsidRPr="001B3E93">
                    <w:rPr>
                      <w:rFonts w:ascii="Arial" w:hAnsi="Arial" w:cs="Arial"/>
                      <w:sz w:val="22"/>
                      <w:szCs w:val="22"/>
                    </w:rPr>
                    <w:t>19.7</w:t>
                  </w:r>
                </w:p>
              </w:tc>
              <w:tc>
                <w:tcPr>
                  <w:tcW w:w="1765" w:type="dxa"/>
                </w:tcPr>
                <w:p w14:paraId="35328830" w14:textId="77777777" w:rsidR="00D73045" w:rsidRPr="001B3E93" w:rsidRDefault="00D73045" w:rsidP="00D73045">
                  <w:pPr>
                    <w:jc w:val="center"/>
                    <w:rPr>
                      <w:rFonts w:ascii="Arial" w:hAnsi="Arial" w:cs="Arial"/>
                      <w:sz w:val="22"/>
                      <w:szCs w:val="22"/>
                    </w:rPr>
                  </w:pPr>
                  <w:r w:rsidRPr="001B3E93">
                    <w:rPr>
                      <w:rFonts w:ascii="Arial" w:hAnsi="Arial" w:cs="Arial"/>
                      <w:sz w:val="22"/>
                      <w:szCs w:val="22"/>
                    </w:rPr>
                    <w:t>0.009</w:t>
                  </w:r>
                </w:p>
              </w:tc>
            </w:tr>
          </w:tbl>
          <w:p w14:paraId="770A9178" w14:textId="77777777" w:rsidR="00D73045" w:rsidRPr="001B3E93" w:rsidRDefault="00D73045" w:rsidP="00D73045">
            <w:pPr>
              <w:jc w:val="both"/>
              <w:rPr>
                <w:rFonts w:ascii="Arial" w:hAnsi="Arial" w:cs="Arial"/>
                <w:sz w:val="22"/>
                <w:szCs w:val="22"/>
              </w:rPr>
            </w:pPr>
          </w:p>
          <w:p w14:paraId="5EF7AE06" w14:textId="1BAFBDFB" w:rsidR="00104F50" w:rsidRDefault="00D73045" w:rsidP="00D73045">
            <w:pPr>
              <w:jc w:val="both"/>
              <w:rPr>
                <w:rFonts w:ascii="Arial" w:hAnsi="Arial" w:cs="Arial"/>
                <w:sz w:val="22"/>
                <w:szCs w:val="22"/>
              </w:rPr>
            </w:pPr>
            <w:r w:rsidRPr="001B3E93">
              <w:rPr>
                <w:rFonts w:ascii="Arial" w:hAnsi="Arial" w:cs="Arial"/>
                <w:sz w:val="22"/>
                <w:szCs w:val="22"/>
              </w:rPr>
              <w:t xml:space="preserve">At 12 months following BT, 77% of patients demonstrated improvement in ACQ greater than 0.5 (ACQ responders). </w:t>
            </w:r>
            <w:r w:rsidR="00022CD9">
              <w:rPr>
                <w:rFonts w:ascii="Arial" w:hAnsi="Arial" w:cs="Arial"/>
                <w:sz w:val="22"/>
                <w:szCs w:val="22"/>
              </w:rPr>
              <w:t>C</w:t>
            </w:r>
            <w:r w:rsidRPr="001B3E93">
              <w:rPr>
                <w:rFonts w:ascii="Arial" w:hAnsi="Arial" w:cs="Arial"/>
                <w:sz w:val="22"/>
                <w:szCs w:val="22"/>
              </w:rPr>
              <w:t xml:space="preserve">linical characteristics </w:t>
            </w:r>
            <w:r w:rsidR="00022CD9">
              <w:rPr>
                <w:rFonts w:ascii="Arial" w:hAnsi="Arial" w:cs="Arial"/>
                <w:sz w:val="22"/>
                <w:szCs w:val="22"/>
              </w:rPr>
              <w:t>at baseline could not separate</w:t>
            </w:r>
            <w:r w:rsidRPr="001B3E93">
              <w:rPr>
                <w:rFonts w:ascii="Arial" w:hAnsi="Arial" w:cs="Arial"/>
                <w:sz w:val="22"/>
                <w:szCs w:val="22"/>
              </w:rPr>
              <w:t xml:space="preserve"> ACQ responders and non-responders. 87% of patients experienced a 50% improvement in the frequency of exacerbations requiring oral steroids. When ACQ improvement and exacerbation frequency were cross-tabulated, 82% of the ACQ non-responders experienced a significant reduction in exacerbation rate, and 95.6% of patients demonstrated an improvement in either or </w:t>
            </w:r>
            <w:proofErr w:type="gramStart"/>
            <w:r w:rsidRPr="001B3E93">
              <w:rPr>
                <w:rFonts w:ascii="Arial" w:hAnsi="Arial" w:cs="Arial"/>
                <w:sz w:val="22"/>
                <w:szCs w:val="22"/>
              </w:rPr>
              <w:t>both of these</w:t>
            </w:r>
            <w:proofErr w:type="gramEnd"/>
            <w:r w:rsidRPr="001B3E93">
              <w:rPr>
                <w:rFonts w:ascii="Arial" w:hAnsi="Arial" w:cs="Arial"/>
                <w:sz w:val="22"/>
                <w:szCs w:val="22"/>
              </w:rPr>
              <w:t xml:space="preserve"> domains. </w:t>
            </w:r>
          </w:p>
          <w:tbl>
            <w:tblPr>
              <w:tblStyle w:val="TableGrid"/>
              <w:tblW w:w="0" w:type="auto"/>
              <w:tblLayout w:type="fixed"/>
              <w:tblLook w:val="04A0" w:firstRow="1" w:lastRow="0" w:firstColumn="1" w:lastColumn="0" w:noHBand="0" w:noVBand="1"/>
            </w:tblPr>
            <w:tblGrid>
              <w:gridCol w:w="2804"/>
              <w:gridCol w:w="2805"/>
              <w:gridCol w:w="2805"/>
            </w:tblGrid>
            <w:tr w:rsidR="00B87637" w14:paraId="72FB76E4" w14:textId="77777777" w:rsidTr="00B87637">
              <w:tc>
                <w:tcPr>
                  <w:tcW w:w="2804" w:type="dxa"/>
                </w:tcPr>
                <w:p w14:paraId="3509DEAF" w14:textId="77777777" w:rsidR="00B87637" w:rsidRDefault="00B87637" w:rsidP="00D73045">
                  <w:pPr>
                    <w:jc w:val="both"/>
                    <w:rPr>
                      <w:rFonts w:ascii="Arial" w:hAnsi="Arial" w:cs="Arial"/>
                      <w:sz w:val="22"/>
                      <w:szCs w:val="22"/>
                    </w:rPr>
                  </w:pPr>
                </w:p>
              </w:tc>
              <w:tc>
                <w:tcPr>
                  <w:tcW w:w="2805" w:type="dxa"/>
                </w:tcPr>
                <w:p w14:paraId="56B0B571" w14:textId="4B60EEB8" w:rsidR="00B87637" w:rsidRDefault="00104F50" w:rsidP="00D73045">
                  <w:pPr>
                    <w:jc w:val="both"/>
                    <w:rPr>
                      <w:rFonts w:ascii="Arial" w:hAnsi="Arial" w:cs="Arial"/>
                      <w:sz w:val="22"/>
                      <w:szCs w:val="22"/>
                    </w:rPr>
                  </w:pPr>
                  <w:r>
                    <w:rPr>
                      <w:rFonts w:ascii="Arial" w:hAnsi="Arial" w:cs="Arial"/>
                      <w:sz w:val="22"/>
                      <w:szCs w:val="22"/>
                    </w:rPr>
                    <w:t>Delta Exacerbations &gt;50%</w:t>
                  </w:r>
                </w:p>
              </w:tc>
              <w:tc>
                <w:tcPr>
                  <w:tcW w:w="2805" w:type="dxa"/>
                </w:tcPr>
                <w:p w14:paraId="542D9008" w14:textId="3ADC0DE2" w:rsidR="00B87637" w:rsidRDefault="00104F50" w:rsidP="00D73045">
                  <w:pPr>
                    <w:jc w:val="both"/>
                    <w:rPr>
                      <w:rFonts w:ascii="Arial" w:hAnsi="Arial" w:cs="Arial"/>
                      <w:sz w:val="22"/>
                      <w:szCs w:val="22"/>
                    </w:rPr>
                  </w:pPr>
                  <w:r>
                    <w:rPr>
                      <w:rFonts w:ascii="Arial" w:hAnsi="Arial" w:cs="Arial"/>
                      <w:sz w:val="22"/>
                      <w:szCs w:val="22"/>
                    </w:rPr>
                    <w:t>Delta Exacerbations &lt;50%</w:t>
                  </w:r>
                </w:p>
              </w:tc>
            </w:tr>
            <w:tr w:rsidR="00B87637" w14:paraId="78C7E573" w14:textId="77777777" w:rsidTr="00B87637">
              <w:tc>
                <w:tcPr>
                  <w:tcW w:w="2804" w:type="dxa"/>
                </w:tcPr>
                <w:p w14:paraId="340D0FED" w14:textId="19D2C078" w:rsidR="00B87637" w:rsidRDefault="00104F50" w:rsidP="00D73045">
                  <w:pPr>
                    <w:jc w:val="both"/>
                    <w:rPr>
                      <w:rFonts w:ascii="Arial" w:hAnsi="Arial" w:cs="Arial"/>
                      <w:sz w:val="22"/>
                      <w:szCs w:val="22"/>
                    </w:rPr>
                  </w:pPr>
                  <w:r>
                    <w:rPr>
                      <w:rFonts w:ascii="Arial" w:hAnsi="Arial" w:cs="Arial"/>
                      <w:sz w:val="22"/>
                      <w:szCs w:val="22"/>
                    </w:rPr>
                    <w:t>Delta ACQ &lt;0.5</w:t>
                  </w:r>
                </w:p>
              </w:tc>
              <w:tc>
                <w:tcPr>
                  <w:tcW w:w="2805" w:type="dxa"/>
                </w:tcPr>
                <w:p w14:paraId="7428BDC1" w14:textId="11018D96" w:rsidR="00B87637" w:rsidRDefault="00104F50" w:rsidP="00104F50">
                  <w:pPr>
                    <w:jc w:val="center"/>
                    <w:rPr>
                      <w:rFonts w:ascii="Arial" w:hAnsi="Arial" w:cs="Arial"/>
                      <w:sz w:val="22"/>
                      <w:szCs w:val="22"/>
                    </w:rPr>
                  </w:pPr>
                  <w:r>
                    <w:rPr>
                      <w:rFonts w:ascii="Arial" w:hAnsi="Arial" w:cs="Arial"/>
                      <w:sz w:val="22"/>
                      <w:szCs w:val="22"/>
                    </w:rPr>
                    <w:t>18 (20%)</w:t>
                  </w:r>
                </w:p>
              </w:tc>
              <w:tc>
                <w:tcPr>
                  <w:tcW w:w="2805" w:type="dxa"/>
                </w:tcPr>
                <w:p w14:paraId="5A0479F7" w14:textId="0F022C5E" w:rsidR="00B87637" w:rsidRDefault="00104F50" w:rsidP="00104F50">
                  <w:pPr>
                    <w:jc w:val="center"/>
                    <w:rPr>
                      <w:rFonts w:ascii="Arial" w:hAnsi="Arial" w:cs="Arial"/>
                      <w:sz w:val="22"/>
                      <w:szCs w:val="22"/>
                    </w:rPr>
                  </w:pPr>
                  <w:r>
                    <w:rPr>
                      <w:rFonts w:ascii="Arial" w:hAnsi="Arial" w:cs="Arial"/>
                      <w:sz w:val="22"/>
                      <w:szCs w:val="22"/>
                    </w:rPr>
                    <w:t>4 (4.4%)</w:t>
                  </w:r>
                </w:p>
              </w:tc>
            </w:tr>
            <w:tr w:rsidR="00104F50" w14:paraId="6ACC314A" w14:textId="77777777" w:rsidTr="00B87637">
              <w:tc>
                <w:tcPr>
                  <w:tcW w:w="2804" w:type="dxa"/>
                </w:tcPr>
                <w:p w14:paraId="550B67CF" w14:textId="73448F15" w:rsidR="00104F50" w:rsidRDefault="00104F50" w:rsidP="00D73045">
                  <w:pPr>
                    <w:jc w:val="both"/>
                    <w:rPr>
                      <w:rFonts w:ascii="Arial" w:hAnsi="Arial" w:cs="Arial"/>
                      <w:sz w:val="22"/>
                      <w:szCs w:val="22"/>
                    </w:rPr>
                  </w:pPr>
                  <w:r>
                    <w:rPr>
                      <w:rFonts w:ascii="Arial" w:hAnsi="Arial" w:cs="Arial"/>
                      <w:sz w:val="22"/>
                      <w:szCs w:val="22"/>
                    </w:rPr>
                    <w:t>Delta ACQ &gt;0.5</w:t>
                  </w:r>
                </w:p>
              </w:tc>
              <w:tc>
                <w:tcPr>
                  <w:tcW w:w="2805" w:type="dxa"/>
                </w:tcPr>
                <w:p w14:paraId="319A4F22" w14:textId="1B5D4860" w:rsidR="00104F50" w:rsidRDefault="00104F50" w:rsidP="00104F50">
                  <w:pPr>
                    <w:jc w:val="center"/>
                    <w:rPr>
                      <w:rFonts w:ascii="Arial" w:hAnsi="Arial" w:cs="Arial"/>
                      <w:sz w:val="22"/>
                      <w:szCs w:val="22"/>
                    </w:rPr>
                  </w:pPr>
                  <w:r>
                    <w:rPr>
                      <w:rFonts w:ascii="Arial" w:hAnsi="Arial" w:cs="Arial"/>
                      <w:sz w:val="22"/>
                      <w:szCs w:val="22"/>
                    </w:rPr>
                    <w:t>60 (66.6%)</w:t>
                  </w:r>
                </w:p>
              </w:tc>
              <w:tc>
                <w:tcPr>
                  <w:tcW w:w="2805" w:type="dxa"/>
                </w:tcPr>
                <w:p w14:paraId="07DAAA84" w14:textId="3867C133" w:rsidR="00104F50" w:rsidRDefault="00104F50" w:rsidP="00104F50">
                  <w:pPr>
                    <w:jc w:val="center"/>
                    <w:rPr>
                      <w:rFonts w:ascii="Arial" w:hAnsi="Arial" w:cs="Arial"/>
                      <w:sz w:val="22"/>
                      <w:szCs w:val="22"/>
                    </w:rPr>
                  </w:pPr>
                  <w:r>
                    <w:rPr>
                      <w:rFonts w:ascii="Arial" w:hAnsi="Arial" w:cs="Arial"/>
                      <w:sz w:val="22"/>
                      <w:szCs w:val="22"/>
                    </w:rPr>
                    <w:t>8 (8.8%)</w:t>
                  </w:r>
                </w:p>
              </w:tc>
            </w:tr>
          </w:tbl>
          <w:p w14:paraId="03745627" w14:textId="77777777" w:rsidR="00B87637" w:rsidRDefault="00B87637" w:rsidP="00D73045">
            <w:pPr>
              <w:jc w:val="both"/>
              <w:rPr>
                <w:rFonts w:ascii="Arial" w:hAnsi="Arial" w:cs="Arial"/>
                <w:sz w:val="22"/>
                <w:szCs w:val="22"/>
              </w:rPr>
            </w:pPr>
          </w:p>
          <w:p w14:paraId="196E7BAC" w14:textId="40320177" w:rsidR="001564A4" w:rsidRPr="001B3E93" w:rsidRDefault="001564A4" w:rsidP="000A28E2">
            <w:pPr>
              <w:pStyle w:val="Pa12"/>
              <w:rPr>
                <w:rStyle w:val="A4"/>
                <w:bCs/>
              </w:rPr>
            </w:pPr>
            <w:r w:rsidRPr="001B3E93">
              <w:rPr>
                <w:rStyle w:val="A4"/>
                <w:b/>
                <w:bCs/>
              </w:rPr>
              <w:t xml:space="preserve">Conclusion: </w:t>
            </w:r>
            <w:r w:rsidR="0048077B" w:rsidRPr="001B3E93">
              <w:rPr>
                <w:sz w:val="22"/>
                <w:szCs w:val="22"/>
              </w:rPr>
              <w:t>This analysis suggests that almost all patients respond to BT and explains why a non-responder phenotype has been difficult to identify.</w:t>
            </w:r>
          </w:p>
          <w:p w14:paraId="724A8024" w14:textId="77777777" w:rsidR="00022CD9" w:rsidRDefault="00022CD9" w:rsidP="000A28E2">
            <w:pPr>
              <w:pStyle w:val="Pa12"/>
              <w:rPr>
                <w:rStyle w:val="A4"/>
                <w:b/>
                <w:bCs/>
              </w:rPr>
            </w:pPr>
          </w:p>
          <w:p w14:paraId="7F8381F0" w14:textId="75AC5BC3" w:rsidR="001564A4" w:rsidRPr="00B80B04" w:rsidRDefault="001564A4" w:rsidP="000A28E2">
            <w:pPr>
              <w:pStyle w:val="Pa12"/>
              <w:rPr>
                <w:b/>
                <w:bCs/>
                <w:color w:val="000000"/>
                <w:sz w:val="22"/>
                <w:szCs w:val="22"/>
              </w:rPr>
            </w:pPr>
            <w:r w:rsidRPr="001B3E93">
              <w:rPr>
                <w:rStyle w:val="A4"/>
                <w:b/>
                <w:bCs/>
              </w:rPr>
              <w:t xml:space="preserve">Grant Support: </w:t>
            </w:r>
            <w:r w:rsidR="00AB3052" w:rsidRPr="00B80B04">
              <w:rPr>
                <w:rStyle w:val="A4"/>
              </w:rPr>
              <w:t>None</w:t>
            </w:r>
            <w:r w:rsidR="00AB3052">
              <w:rPr>
                <w:rStyle w:val="A4"/>
                <w:b/>
                <w:bCs/>
              </w:rPr>
              <w:t xml:space="preserve"> </w:t>
            </w:r>
            <w:r w:rsidRPr="001B3E93">
              <w:rPr>
                <w:sz w:val="22"/>
                <w:szCs w:val="22"/>
              </w:rPr>
              <w:br/>
            </w:r>
            <w:r w:rsidR="005C7ADE" w:rsidRPr="00613EA8">
              <w:rPr>
                <w:b/>
                <w:bCs/>
                <w:sz w:val="22"/>
                <w:szCs w:val="22"/>
              </w:rPr>
              <w:t>Key words</w:t>
            </w:r>
            <w:r w:rsidR="005C7ADE">
              <w:rPr>
                <w:sz w:val="22"/>
                <w:szCs w:val="22"/>
              </w:rPr>
              <w:t xml:space="preserve">: Asthma, </w:t>
            </w:r>
            <w:r w:rsidR="00613EA8">
              <w:rPr>
                <w:sz w:val="22"/>
                <w:szCs w:val="22"/>
              </w:rPr>
              <w:t>Bronchial Thermoplasty</w:t>
            </w:r>
            <w:r w:rsidRPr="001B3E93">
              <w:rPr>
                <w:sz w:val="22"/>
                <w:szCs w:val="22"/>
              </w:rPr>
              <w:br/>
            </w:r>
            <w:r w:rsidRPr="001B3E93">
              <w:rPr>
                <w:sz w:val="22"/>
                <w:szCs w:val="22"/>
              </w:rPr>
              <w:br/>
            </w:r>
            <w:r w:rsidRPr="001B3E93">
              <w:rPr>
                <w:sz w:val="22"/>
                <w:szCs w:val="22"/>
              </w:rPr>
              <w:br/>
            </w:r>
            <w:r w:rsidRPr="001B3E93">
              <w:rPr>
                <w:sz w:val="22"/>
                <w:szCs w:val="22"/>
              </w:rPr>
              <w:br/>
            </w:r>
            <w:r w:rsidRPr="001B3E93">
              <w:rPr>
                <w:sz w:val="22"/>
                <w:szCs w:val="22"/>
              </w:rPr>
              <w:br/>
            </w:r>
            <w:r w:rsidRPr="001B3E93">
              <w:rPr>
                <w:sz w:val="22"/>
                <w:szCs w:val="22"/>
              </w:rPr>
              <w:br/>
            </w:r>
            <w:r w:rsidRPr="001B3E93">
              <w:rPr>
                <w:sz w:val="22"/>
                <w:szCs w:val="22"/>
              </w:rPr>
              <w:br/>
            </w:r>
            <w:r w:rsidRPr="001B3E93">
              <w:rPr>
                <w:sz w:val="22"/>
                <w:szCs w:val="22"/>
              </w:rPr>
              <w:br/>
            </w:r>
            <w:r w:rsidRPr="001B3E93">
              <w:rPr>
                <w:sz w:val="22"/>
                <w:szCs w:val="22"/>
              </w:rPr>
              <w:br/>
            </w:r>
          </w:p>
          <w:p w14:paraId="731CD908" w14:textId="77777777" w:rsidR="001564A4" w:rsidRPr="001B3E93" w:rsidRDefault="001564A4" w:rsidP="000A28E2">
            <w:pPr>
              <w:pStyle w:val="Default"/>
              <w:rPr>
                <w:sz w:val="22"/>
                <w:szCs w:val="22"/>
              </w:rPr>
            </w:pPr>
          </w:p>
          <w:p w14:paraId="34BF0A0F" w14:textId="77777777" w:rsidR="001564A4" w:rsidRPr="001B3E93" w:rsidRDefault="001564A4" w:rsidP="000A28E2">
            <w:pPr>
              <w:pStyle w:val="Default"/>
              <w:rPr>
                <w:sz w:val="22"/>
                <w:szCs w:val="22"/>
              </w:rPr>
            </w:pPr>
          </w:p>
          <w:p w14:paraId="1FF1A88F" w14:textId="77777777" w:rsidR="001564A4" w:rsidRPr="001B3E93" w:rsidRDefault="001564A4" w:rsidP="000A28E2">
            <w:pPr>
              <w:pStyle w:val="Pa12"/>
              <w:rPr>
                <w:rStyle w:val="A4"/>
                <w:bCs/>
              </w:rPr>
            </w:pPr>
            <w:r w:rsidRPr="001B3E93">
              <w:rPr>
                <w:rStyle w:val="A4"/>
                <w:bCs/>
              </w:rPr>
              <w:br/>
            </w:r>
            <w:r w:rsidRPr="001B3E93">
              <w:rPr>
                <w:rStyle w:val="A4"/>
                <w:bCs/>
              </w:rPr>
              <w:br/>
            </w:r>
            <w:r w:rsidRPr="001B3E93">
              <w:rPr>
                <w:rStyle w:val="A4"/>
                <w:bCs/>
              </w:rPr>
              <w:br/>
            </w:r>
            <w:r w:rsidRPr="001B3E93">
              <w:rPr>
                <w:rStyle w:val="A4"/>
                <w:bCs/>
              </w:rPr>
              <w:br/>
            </w:r>
            <w:r w:rsidRPr="001B3E93">
              <w:rPr>
                <w:rStyle w:val="A4"/>
                <w:bCs/>
              </w:rPr>
              <w:br/>
            </w:r>
            <w:r w:rsidRPr="001B3E93">
              <w:rPr>
                <w:rStyle w:val="A4"/>
                <w:bCs/>
              </w:rPr>
              <w:br/>
            </w:r>
            <w:r w:rsidRPr="001B3E93">
              <w:rPr>
                <w:rStyle w:val="A4"/>
                <w:bCs/>
              </w:rPr>
              <w:br/>
            </w:r>
            <w:r w:rsidRPr="001B3E93">
              <w:rPr>
                <w:rStyle w:val="A4"/>
                <w:bCs/>
              </w:rPr>
              <w:br/>
            </w:r>
            <w:r w:rsidRPr="001B3E93">
              <w:rPr>
                <w:rStyle w:val="A4"/>
                <w:bCs/>
              </w:rPr>
              <w:br/>
            </w:r>
            <w:r w:rsidRPr="001B3E93">
              <w:rPr>
                <w:rStyle w:val="A4"/>
                <w:bCs/>
              </w:rPr>
              <w:br/>
            </w:r>
            <w:r w:rsidRPr="001B3E93">
              <w:rPr>
                <w:rStyle w:val="A4"/>
                <w:bCs/>
              </w:rPr>
              <w:br/>
            </w:r>
          </w:p>
          <w:p w14:paraId="14DC37E4" w14:textId="77777777" w:rsidR="001564A4" w:rsidRPr="001B3E93" w:rsidRDefault="001564A4" w:rsidP="000A28E2">
            <w:pPr>
              <w:pStyle w:val="Default"/>
              <w:rPr>
                <w:rStyle w:val="A4"/>
                <w:bCs/>
              </w:rPr>
            </w:pPr>
          </w:p>
          <w:p w14:paraId="5F58D34F" w14:textId="77777777" w:rsidR="001564A4" w:rsidRPr="001B3E93" w:rsidRDefault="001564A4" w:rsidP="000A28E2">
            <w:pPr>
              <w:pStyle w:val="Default"/>
              <w:rPr>
                <w:sz w:val="22"/>
                <w:szCs w:val="22"/>
                <w:lang w:val="en-US" w:eastAsia="en-GB"/>
              </w:rPr>
            </w:pP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r w:rsidRPr="001B3E93">
              <w:rPr>
                <w:sz w:val="22"/>
                <w:szCs w:val="22"/>
                <w:lang w:val="en-US" w:eastAsia="en-GB"/>
              </w:rPr>
              <w:br/>
            </w:r>
          </w:p>
        </w:tc>
      </w:tr>
    </w:tbl>
    <w:p w14:paraId="7C36A9DC" w14:textId="32A70617" w:rsidR="00E0700F" w:rsidRPr="001B3E93" w:rsidRDefault="00E0700F" w:rsidP="001564A4">
      <w:pPr>
        <w:rPr>
          <w:rFonts w:ascii="Arial" w:hAnsi="Arial" w:cs="Arial"/>
          <w:sz w:val="22"/>
          <w:szCs w:val="22"/>
        </w:rPr>
      </w:pPr>
    </w:p>
    <w:sectPr w:rsidR="00E0700F" w:rsidRPr="001B3E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487C" w14:textId="77777777" w:rsidR="00011F91" w:rsidRDefault="00011F91" w:rsidP="00D55458">
      <w:r>
        <w:separator/>
      </w:r>
    </w:p>
  </w:endnote>
  <w:endnote w:type="continuationSeparator" w:id="0">
    <w:p w14:paraId="7646D295" w14:textId="77777777" w:rsidR="00011F91" w:rsidRDefault="00011F91" w:rsidP="00D5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2F36" w14:textId="77777777" w:rsidR="00011F91" w:rsidRDefault="00011F91" w:rsidP="00D55458">
      <w:r>
        <w:separator/>
      </w:r>
    </w:p>
  </w:footnote>
  <w:footnote w:type="continuationSeparator" w:id="0">
    <w:p w14:paraId="415EC4DD" w14:textId="77777777" w:rsidR="00011F91" w:rsidRDefault="00011F91" w:rsidP="00D55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0386"/>
    <w:rsid w:val="00011F91"/>
    <w:rsid w:val="00022CD9"/>
    <w:rsid w:val="000273F5"/>
    <w:rsid w:val="00062F29"/>
    <w:rsid w:val="00104F50"/>
    <w:rsid w:val="00107C03"/>
    <w:rsid w:val="001564A4"/>
    <w:rsid w:val="001661A9"/>
    <w:rsid w:val="001B3E93"/>
    <w:rsid w:val="002329FA"/>
    <w:rsid w:val="002A0D78"/>
    <w:rsid w:val="0031696C"/>
    <w:rsid w:val="00332A16"/>
    <w:rsid w:val="0048077B"/>
    <w:rsid w:val="0048771E"/>
    <w:rsid w:val="004F584D"/>
    <w:rsid w:val="0051574E"/>
    <w:rsid w:val="00555FF9"/>
    <w:rsid w:val="005C7ADE"/>
    <w:rsid w:val="005E402D"/>
    <w:rsid w:val="00603F21"/>
    <w:rsid w:val="00613EA8"/>
    <w:rsid w:val="00645535"/>
    <w:rsid w:val="006B57E4"/>
    <w:rsid w:val="00853E57"/>
    <w:rsid w:val="008803FA"/>
    <w:rsid w:val="00890A74"/>
    <w:rsid w:val="008C2ABF"/>
    <w:rsid w:val="00921E2C"/>
    <w:rsid w:val="00965EB4"/>
    <w:rsid w:val="009C410D"/>
    <w:rsid w:val="00AB3052"/>
    <w:rsid w:val="00B12E32"/>
    <w:rsid w:val="00B80B04"/>
    <w:rsid w:val="00B87637"/>
    <w:rsid w:val="00C7211E"/>
    <w:rsid w:val="00CE3FE7"/>
    <w:rsid w:val="00D55458"/>
    <w:rsid w:val="00D73045"/>
    <w:rsid w:val="00E0700F"/>
    <w:rsid w:val="00E42C12"/>
    <w:rsid w:val="00E878C6"/>
    <w:rsid w:val="00FB0AE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table" w:styleId="TableGrid">
    <w:name w:val="Table Grid"/>
    <w:basedOn w:val="TableNormal"/>
    <w:uiPriority w:val="39"/>
    <w:rsid w:val="00D73045"/>
    <w:rPr>
      <w:rFonts w:asciiTheme="minorHAnsi" w:hAnsiTheme="minorHAns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458"/>
    <w:pPr>
      <w:tabs>
        <w:tab w:val="center" w:pos="4513"/>
        <w:tab w:val="right" w:pos="9026"/>
      </w:tabs>
    </w:pPr>
  </w:style>
  <w:style w:type="character" w:customStyle="1" w:styleId="HeaderChar">
    <w:name w:val="Header Char"/>
    <w:basedOn w:val="DefaultParagraphFont"/>
    <w:link w:val="Header"/>
    <w:uiPriority w:val="99"/>
    <w:rsid w:val="00D5545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55458"/>
    <w:pPr>
      <w:tabs>
        <w:tab w:val="center" w:pos="4513"/>
        <w:tab w:val="right" w:pos="9026"/>
      </w:tabs>
    </w:pPr>
  </w:style>
  <w:style w:type="character" w:customStyle="1" w:styleId="FooterChar">
    <w:name w:val="Footer Char"/>
    <w:basedOn w:val="DefaultParagraphFont"/>
    <w:link w:val="Footer"/>
    <w:uiPriority w:val="99"/>
    <w:rsid w:val="00D5545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Eugenie Pan</cp:lastModifiedBy>
  <cp:revision>2</cp:revision>
  <dcterms:created xsi:type="dcterms:W3CDTF">2023-10-16T09:52:00Z</dcterms:created>
  <dcterms:modified xsi:type="dcterms:W3CDTF">2023-10-16T09:52:00Z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