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D34A03C" w:rsidR="002B7FC8" w:rsidRPr="00242808" w:rsidRDefault="00732228" w:rsidP="00E36AD7">
            <w:pPr>
              <w:jc w:val="both"/>
              <w:rPr>
                <w:rFonts w:ascii="Arial" w:hAnsi="Arial" w:cs="Arial"/>
                <w:sz w:val="22"/>
                <w:szCs w:val="22"/>
              </w:rPr>
            </w:pPr>
            <w:r w:rsidRPr="00732228">
              <w:rPr>
                <w:rFonts w:ascii="Arial" w:hAnsi="Arial" w:cs="Arial"/>
                <w:b/>
                <w:sz w:val="22"/>
                <w:szCs w:val="22"/>
              </w:rPr>
              <w:t>Gender inequality in the development of out-of-school exercise: A latent class repeated measures analysis across thirteen years.</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5A4DE256" w14:textId="3B9B3396" w:rsidR="00DA7A71" w:rsidRDefault="00732228" w:rsidP="00E36AD7">
            <w:pPr>
              <w:jc w:val="both"/>
              <w:rPr>
                <w:rFonts w:ascii="Arial" w:hAnsi="Arial" w:cs="Arial"/>
                <w:sz w:val="22"/>
                <w:szCs w:val="22"/>
              </w:rPr>
            </w:pPr>
            <w:r>
              <w:rPr>
                <w:rFonts w:ascii="Arial" w:hAnsi="Arial" w:cs="Arial"/>
                <w:sz w:val="22"/>
              </w:rPr>
              <w:t xml:space="preserve">Out-of-school exercise (OSE) refers to regular voluntary exercise behaviour during leisure time for school aged population. Rather than general physical activity, OSE is usually deliberately initiated and represents an efficient target for interventions. However, relative few studies have investigated the gender differences of OSE development </w:t>
            </w:r>
            <w:r w:rsidRPr="00702B9F">
              <w:rPr>
                <w:rFonts w:ascii="Arial" w:hAnsi="Arial" w:cs="Arial"/>
                <w:sz w:val="22"/>
                <w:szCs w:val="22"/>
              </w:rPr>
              <w:t xml:space="preserve">from childhood to </w:t>
            </w:r>
            <w:r>
              <w:rPr>
                <w:rFonts w:ascii="Arial" w:hAnsi="Arial" w:cs="Arial"/>
                <w:sz w:val="22"/>
              </w:rPr>
              <w:t>emerging</w:t>
            </w:r>
            <w:r w:rsidRPr="00702B9F">
              <w:rPr>
                <w:rFonts w:ascii="Arial" w:hAnsi="Arial" w:cs="Arial"/>
                <w:sz w:val="22"/>
                <w:szCs w:val="22"/>
              </w:rPr>
              <w:t xml:space="preserve"> adulthood</w:t>
            </w:r>
            <w:r>
              <w:rPr>
                <w:rFonts w:ascii="Arial" w:hAnsi="Arial" w:cs="Arial"/>
                <w:sz w:val="22"/>
              </w:rPr>
              <w:t xml:space="preserve">. </w:t>
            </w:r>
            <w:r w:rsidRPr="00702B9F">
              <w:rPr>
                <w:rFonts w:ascii="Arial" w:hAnsi="Arial" w:cs="Arial"/>
                <w:sz w:val="22"/>
                <w:szCs w:val="22"/>
              </w:rPr>
              <w:t xml:space="preserve">This study aimed to examine latent trajectories of </w:t>
            </w:r>
            <w:r>
              <w:rPr>
                <w:rFonts w:ascii="Arial" w:hAnsi="Arial" w:cs="Arial"/>
                <w:sz w:val="22"/>
              </w:rPr>
              <w:t>OSE</w:t>
            </w:r>
            <w:r w:rsidRPr="00702B9F">
              <w:rPr>
                <w:rFonts w:ascii="Arial" w:hAnsi="Arial" w:cs="Arial"/>
                <w:sz w:val="22"/>
                <w:szCs w:val="22"/>
              </w:rPr>
              <w:t xml:space="preserve"> from childhood to </w:t>
            </w:r>
            <w:r>
              <w:rPr>
                <w:rFonts w:ascii="Arial" w:hAnsi="Arial" w:cs="Arial"/>
                <w:sz w:val="22"/>
              </w:rPr>
              <w:t>emerging</w:t>
            </w:r>
            <w:r w:rsidRPr="00702B9F">
              <w:rPr>
                <w:rFonts w:ascii="Arial" w:hAnsi="Arial" w:cs="Arial"/>
                <w:sz w:val="22"/>
                <w:szCs w:val="22"/>
              </w:rPr>
              <w:t xml:space="preserve"> adulthood </w:t>
            </w:r>
            <w:r>
              <w:rPr>
                <w:rFonts w:ascii="Arial" w:hAnsi="Arial" w:cs="Arial"/>
                <w:sz w:val="22"/>
              </w:rPr>
              <w:t xml:space="preserve">across gender, </w:t>
            </w:r>
            <w:r w:rsidRPr="00702B9F">
              <w:rPr>
                <w:rFonts w:ascii="Arial" w:hAnsi="Arial" w:cs="Arial"/>
                <w:sz w:val="22"/>
                <w:szCs w:val="22"/>
              </w:rPr>
              <w:t xml:space="preserve">and to identify </w:t>
            </w:r>
            <w:r>
              <w:rPr>
                <w:rFonts w:ascii="Arial" w:hAnsi="Arial" w:cs="Arial"/>
                <w:sz w:val="22"/>
              </w:rPr>
              <w:t xml:space="preserve">gender differences in the individual and parental factors </w:t>
            </w:r>
            <w:r w:rsidRPr="00702B9F">
              <w:rPr>
                <w:rFonts w:ascii="Arial" w:hAnsi="Arial" w:cs="Arial"/>
                <w:sz w:val="22"/>
                <w:szCs w:val="22"/>
              </w:rPr>
              <w:t xml:space="preserve">of </w:t>
            </w:r>
            <w:r>
              <w:rPr>
                <w:rFonts w:ascii="Arial" w:hAnsi="Arial" w:cs="Arial"/>
                <w:sz w:val="22"/>
              </w:rPr>
              <w:t xml:space="preserve">OSE </w:t>
            </w:r>
            <w:r w:rsidRPr="00702B9F">
              <w:rPr>
                <w:rFonts w:ascii="Arial" w:hAnsi="Arial" w:cs="Arial"/>
                <w:sz w:val="22"/>
                <w:szCs w:val="22"/>
              </w:rPr>
              <w:t>trajector</w:t>
            </w:r>
            <w:r>
              <w:rPr>
                <w:rFonts w:ascii="Arial" w:hAnsi="Arial" w:cs="Arial"/>
                <w:sz w:val="22"/>
              </w:rPr>
              <w:t>ies</w:t>
            </w:r>
            <w:r w:rsidRPr="00702B9F">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5A4DE25B" w14:textId="4A107BCA" w:rsidR="00DA7A71" w:rsidRDefault="00602593" w:rsidP="00E36AD7">
            <w:pPr>
              <w:jc w:val="both"/>
              <w:rPr>
                <w:rFonts w:ascii="Arial" w:hAnsi="Arial" w:cs="Arial"/>
                <w:b/>
                <w:sz w:val="22"/>
                <w:szCs w:val="22"/>
              </w:rPr>
            </w:pPr>
            <w:r w:rsidRPr="00702B9F">
              <w:rPr>
                <w:rFonts w:ascii="Arial" w:hAnsi="Arial" w:cs="Arial"/>
                <w:sz w:val="22"/>
                <w:szCs w:val="22"/>
              </w:rPr>
              <w:t xml:space="preserve">There were </w:t>
            </w:r>
            <w:r w:rsidRPr="003133DC">
              <w:rPr>
                <w:rFonts w:ascii="Arial" w:hAnsi="Arial" w:cs="Arial"/>
                <w:sz w:val="22"/>
              </w:rPr>
              <w:t>2,072</w:t>
            </w:r>
            <w:r w:rsidRPr="00702B9F">
              <w:rPr>
                <w:rFonts w:ascii="Arial" w:hAnsi="Arial" w:cs="Arial"/>
                <w:sz w:val="22"/>
                <w:szCs w:val="22"/>
              </w:rPr>
              <w:t xml:space="preserve"> 4</w:t>
            </w:r>
            <w:r w:rsidRPr="00702B9F">
              <w:rPr>
                <w:rFonts w:ascii="Arial" w:hAnsi="Arial" w:cs="Arial"/>
                <w:sz w:val="22"/>
                <w:szCs w:val="22"/>
                <w:vertAlign w:val="superscript"/>
              </w:rPr>
              <w:t>th</w:t>
            </w:r>
            <w:r w:rsidRPr="00702B9F">
              <w:rPr>
                <w:rFonts w:ascii="Arial" w:hAnsi="Arial" w:cs="Arial"/>
                <w:sz w:val="22"/>
                <w:szCs w:val="22"/>
              </w:rPr>
              <w:t xml:space="preserve"> graders</w:t>
            </w:r>
            <w:r>
              <w:rPr>
                <w:rFonts w:ascii="Arial" w:hAnsi="Arial" w:cs="Arial"/>
                <w:sz w:val="22"/>
              </w:rPr>
              <w:t xml:space="preserve"> (aged 10)</w:t>
            </w:r>
            <w:r w:rsidRPr="00702B9F">
              <w:rPr>
                <w:rFonts w:ascii="Arial" w:hAnsi="Arial" w:cs="Arial"/>
                <w:sz w:val="22"/>
                <w:szCs w:val="22"/>
              </w:rPr>
              <w:t xml:space="preserve"> in northern Taiwan followed annually from 2000 to 2013. </w:t>
            </w:r>
            <w:r>
              <w:rPr>
                <w:rFonts w:ascii="Arial" w:hAnsi="Arial" w:cs="Arial"/>
                <w:sz w:val="22"/>
              </w:rPr>
              <w:t xml:space="preserve">OSE was measured by </w:t>
            </w:r>
            <w:r w:rsidRPr="007E030E">
              <w:rPr>
                <w:rFonts w:ascii="Arial" w:hAnsi="Arial" w:cs="Arial"/>
                <w:sz w:val="22"/>
              </w:rPr>
              <w:t>asking participants “Not counting school physical education classes, have yo</w:t>
            </w:r>
            <w:r>
              <w:rPr>
                <w:rFonts w:ascii="Arial" w:hAnsi="Arial" w:cs="Arial"/>
                <w:sz w:val="22"/>
              </w:rPr>
              <w:t>u exercised in the past week?”</w:t>
            </w:r>
            <w:r>
              <w:rPr>
                <w:rFonts w:ascii="Arial" w:hAnsi="Arial" w:cs="Arial" w:hint="eastAsia"/>
                <w:sz w:val="22"/>
                <w:lang w:eastAsia="zh-TW"/>
              </w:rPr>
              <w:t xml:space="preserve"> </w:t>
            </w:r>
            <w:r>
              <w:rPr>
                <w:rFonts w:ascii="Arial" w:hAnsi="Arial" w:cs="Arial"/>
                <w:sz w:val="22"/>
              </w:rPr>
              <w:t>annually</w:t>
            </w:r>
            <w:r w:rsidRPr="007E030E">
              <w:rPr>
                <w:rFonts w:ascii="Arial" w:hAnsi="Arial" w:cs="Arial"/>
                <w:sz w:val="22"/>
              </w:rPr>
              <w:t>.</w:t>
            </w:r>
            <w:r>
              <w:rPr>
                <w:rFonts w:ascii="Arial" w:hAnsi="Arial" w:cs="Arial"/>
                <w:sz w:val="22"/>
              </w:rPr>
              <w:t xml:space="preserve"> Covariates included </w:t>
            </w:r>
            <w:r>
              <w:rPr>
                <w:rFonts w:ascii="Arial" w:hAnsi="Arial" w:cs="Arial" w:hint="eastAsia"/>
                <w:sz w:val="22"/>
                <w:lang w:eastAsia="zh-TW"/>
              </w:rPr>
              <w:t>Indivi</w:t>
            </w:r>
            <w:r>
              <w:rPr>
                <w:rFonts w:ascii="Arial" w:hAnsi="Arial" w:cs="Arial"/>
                <w:sz w:val="22"/>
                <w:lang w:eastAsia="zh-TW"/>
              </w:rPr>
              <w:t xml:space="preserve">dual factors (i.e. </w:t>
            </w:r>
            <w:r>
              <w:rPr>
                <w:rFonts w:ascii="Arial" w:hAnsi="Arial" w:cs="Arial"/>
                <w:sz w:val="22"/>
              </w:rPr>
              <w:t xml:space="preserve">Body Mass Index, body dissatisfaction, stress, and screen behaviour) and parental factors i.e. (parental education level, family monthly income, parental marriage status, parental exercise and parental screen behaviour). </w:t>
            </w:r>
            <w:r w:rsidRPr="00702B9F">
              <w:rPr>
                <w:rFonts w:ascii="Arial" w:hAnsi="Arial" w:cs="Arial"/>
                <w:sz w:val="22"/>
                <w:szCs w:val="22"/>
              </w:rPr>
              <w:t>Repeated-measures latent class analysis was used to identify trajector</w:t>
            </w:r>
            <w:r>
              <w:rPr>
                <w:rFonts w:ascii="Arial" w:hAnsi="Arial" w:cs="Arial"/>
                <w:sz w:val="22"/>
              </w:rPr>
              <w:t>ies. Multinomial logistic regression was used to identify related factor</w:t>
            </w:r>
            <w:r w:rsidRPr="00702B9F">
              <w:rPr>
                <w:rFonts w:ascii="Arial" w:hAnsi="Arial" w:cs="Arial"/>
                <w:sz w:val="22"/>
                <w:szCs w:val="22"/>
              </w:rPr>
              <w:t>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9DA5A4B" w:rsidR="004B7D91" w:rsidRDefault="00602593" w:rsidP="00E36AD7">
            <w:pPr>
              <w:jc w:val="both"/>
              <w:rPr>
                <w:rFonts w:ascii="Arial" w:hAnsi="Arial" w:cs="Arial"/>
                <w:b/>
                <w:sz w:val="22"/>
                <w:szCs w:val="22"/>
              </w:rPr>
            </w:pPr>
            <w:r w:rsidRPr="00702B9F">
              <w:rPr>
                <w:rFonts w:ascii="Arial" w:hAnsi="Arial" w:cs="Arial"/>
                <w:sz w:val="22"/>
                <w:szCs w:val="22"/>
              </w:rPr>
              <w:t xml:space="preserve">Males had </w:t>
            </w:r>
            <w:r>
              <w:rPr>
                <w:rFonts w:ascii="Arial" w:hAnsi="Arial" w:cs="Arial"/>
                <w:sz w:val="22"/>
              </w:rPr>
              <w:t>a larger proportion (27%) to be classified as “continuing high</w:t>
            </w:r>
            <w:r w:rsidRPr="00702B9F">
              <w:rPr>
                <w:rFonts w:ascii="Arial" w:hAnsi="Arial" w:cs="Arial"/>
                <w:sz w:val="22"/>
                <w:szCs w:val="22"/>
              </w:rPr>
              <w:t xml:space="preserve"> </w:t>
            </w:r>
            <w:r>
              <w:rPr>
                <w:rFonts w:ascii="Arial" w:hAnsi="Arial" w:cs="Arial"/>
                <w:sz w:val="22"/>
              </w:rPr>
              <w:t xml:space="preserve">level </w:t>
            </w:r>
            <w:r w:rsidRPr="00702B9F">
              <w:rPr>
                <w:rFonts w:ascii="Arial" w:hAnsi="Arial" w:cs="Arial"/>
                <w:sz w:val="22"/>
                <w:szCs w:val="22"/>
              </w:rPr>
              <w:t xml:space="preserve">of </w:t>
            </w:r>
            <w:r>
              <w:rPr>
                <w:rFonts w:ascii="Arial" w:hAnsi="Arial" w:cs="Arial"/>
                <w:sz w:val="22"/>
              </w:rPr>
              <w:t>O</w:t>
            </w:r>
            <w:r w:rsidRPr="00702B9F">
              <w:rPr>
                <w:rFonts w:ascii="Arial" w:hAnsi="Arial" w:cs="Arial"/>
                <w:sz w:val="22"/>
                <w:szCs w:val="22"/>
              </w:rPr>
              <w:t>SE</w:t>
            </w:r>
            <w:r>
              <w:rPr>
                <w:rFonts w:ascii="Arial" w:hAnsi="Arial" w:cs="Arial"/>
                <w:sz w:val="22"/>
              </w:rPr>
              <w:t>”</w:t>
            </w:r>
            <w:r w:rsidRPr="00702B9F">
              <w:rPr>
                <w:rFonts w:ascii="Arial" w:hAnsi="Arial" w:cs="Arial"/>
                <w:sz w:val="22"/>
                <w:szCs w:val="22"/>
              </w:rPr>
              <w:t xml:space="preserve"> than females</w:t>
            </w:r>
            <w:r>
              <w:rPr>
                <w:rFonts w:ascii="Arial" w:hAnsi="Arial" w:cs="Arial"/>
                <w:sz w:val="22"/>
              </w:rPr>
              <w:t xml:space="preserve"> (10%). In contrast, 34% and 33% females were categorized into “chronically </w:t>
            </w:r>
            <w:proofErr w:type="gramStart"/>
            <w:r>
              <w:rPr>
                <w:rFonts w:ascii="Arial" w:hAnsi="Arial" w:cs="Arial"/>
                <w:sz w:val="22"/>
              </w:rPr>
              <w:t>low level</w:t>
            </w:r>
            <w:proofErr w:type="gramEnd"/>
            <w:r>
              <w:rPr>
                <w:rFonts w:ascii="Arial" w:hAnsi="Arial" w:cs="Arial"/>
                <w:sz w:val="22"/>
              </w:rPr>
              <w:t xml:space="preserve"> group” and “decreasing group” respectively, while only 20% and 21% males were categorized into the two groups </w:t>
            </w:r>
            <w:r w:rsidRPr="00212239">
              <w:rPr>
                <w:rFonts w:ascii="Arial" w:hAnsi="Arial" w:cs="Arial"/>
                <w:sz w:val="22"/>
              </w:rPr>
              <w:t>respectively</w:t>
            </w:r>
            <w:r w:rsidRPr="00702B9F">
              <w:rPr>
                <w:rFonts w:ascii="Arial" w:hAnsi="Arial" w:cs="Arial"/>
                <w:sz w:val="22"/>
                <w:szCs w:val="22"/>
              </w:rPr>
              <w:t xml:space="preserve">. </w:t>
            </w:r>
            <w:r>
              <w:rPr>
                <w:rFonts w:ascii="Arial" w:hAnsi="Arial" w:cs="Arial"/>
                <w:sz w:val="22"/>
              </w:rPr>
              <w:t xml:space="preserve">About one third of males (32%) were divided </w:t>
            </w:r>
            <w:r>
              <w:rPr>
                <w:rFonts w:ascii="Arial" w:hAnsi="Arial" w:cs="Arial" w:hint="eastAsia"/>
                <w:sz w:val="22"/>
              </w:rPr>
              <w:t xml:space="preserve">as </w:t>
            </w:r>
            <w:r>
              <w:rPr>
                <w:rFonts w:ascii="Arial" w:hAnsi="Arial" w:cs="Arial"/>
                <w:sz w:val="22"/>
              </w:rPr>
              <w:t>“</w:t>
            </w:r>
            <w:r>
              <w:rPr>
                <w:rFonts w:ascii="Arial" w:hAnsi="Arial" w:cs="Arial" w:hint="eastAsia"/>
                <w:sz w:val="22"/>
              </w:rPr>
              <w:t>moder</w:t>
            </w:r>
            <w:r>
              <w:rPr>
                <w:rFonts w:ascii="Arial" w:hAnsi="Arial" w:cs="Arial"/>
                <w:sz w:val="22"/>
              </w:rPr>
              <w:t xml:space="preserve">ate group” and only a quarter of females (23%) were assigned as “moderate group”. </w:t>
            </w:r>
            <w:r w:rsidRPr="00702B9F">
              <w:rPr>
                <w:rFonts w:ascii="Arial" w:hAnsi="Arial" w:cs="Arial"/>
                <w:sz w:val="22"/>
                <w:szCs w:val="22"/>
              </w:rPr>
              <w:t xml:space="preserve">Females abandoned regular </w:t>
            </w:r>
            <w:r>
              <w:rPr>
                <w:rFonts w:ascii="Arial" w:hAnsi="Arial" w:cs="Arial"/>
                <w:sz w:val="22"/>
              </w:rPr>
              <w:t>O</w:t>
            </w:r>
            <w:r w:rsidRPr="00702B9F">
              <w:rPr>
                <w:rFonts w:ascii="Arial" w:hAnsi="Arial" w:cs="Arial"/>
                <w:sz w:val="22"/>
                <w:szCs w:val="22"/>
              </w:rPr>
              <w:t xml:space="preserve">SE earlier than males. </w:t>
            </w:r>
            <w:r>
              <w:rPr>
                <w:rFonts w:ascii="Arial" w:hAnsi="Arial" w:cs="Arial"/>
                <w:sz w:val="22"/>
              </w:rPr>
              <w:t>Parental exercise, parental education level and individual stress level were associated with male’s OSE trajectories, but not related to female’s OSE trajectories.</w:t>
            </w:r>
            <w:r w:rsidRPr="00702B9F">
              <w:rPr>
                <w:rFonts w:ascii="Arial" w:hAnsi="Arial" w:cs="Arial"/>
                <w:sz w:val="22"/>
                <w:szCs w:val="22"/>
              </w:rPr>
              <w:t xml:space="preserve"> </w:t>
            </w:r>
            <w:r>
              <w:rPr>
                <w:rFonts w:ascii="Arial" w:hAnsi="Arial" w:cs="Arial"/>
                <w:sz w:val="22"/>
              </w:rPr>
              <w:t>BMI and family income were associated with female’s OSE trajectories, but not associated with male’s OSE trajectories. Body dissatisfaction and individual screen behaviour were associated with OSE trajectories of both genders.</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4C3E958C" w:rsidR="00C978A6" w:rsidRDefault="00602593" w:rsidP="00E36AD7">
            <w:pPr>
              <w:jc w:val="both"/>
              <w:rPr>
                <w:rFonts w:ascii="Arial" w:hAnsi="Arial" w:cs="Arial"/>
                <w:b/>
                <w:sz w:val="22"/>
                <w:szCs w:val="22"/>
              </w:rPr>
            </w:pPr>
            <w:r w:rsidRPr="00702B9F">
              <w:rPr>
                <w:rFonts w:ascii="Arial" w:hAnsi="Arial" w:cs="Arial"/>
                <w:sz w:val="22"/>
                <w:szCs w:val="22"/>
              </w:rPr>
              <w:t>E</w:t>
            </w:r>
            <w:r>
              <w:rPr>
                <w:rFonts w:ascii="Arial" w:hAnsi="Arial" w:cs="Arial"/>
                <w:sz w:val="22"/>
              </w:rPr>
              <w:t>xercise patterns changed from childhood to emerging adulthood</w:t>
            </w:r>
            <w:r w:rsidRPr="00702B9F">
              <w:rPr>
                <w:rFonts w:ascii="Arial" w:hAnsi="Arial" w:cs="Arial"/>
                <w:sz w:val="22"/>
                <w:szCs w:val="22"/>
              </w:rPr>
              <w:t xml:space="preserve"> in both </w:t>
            </w:r>
            <w:proofErr w:type="gramStart"/>
            <w:r>
              <w:rPr>
                <w:rFonts w:ascii="Arial" w:hAnsi="Arial" w:cs="Arial"/>
                <w:sz w:val="22"/>
              </w:rPr>
              <w:t>gender</w:t>
            </w:r>
            <w:proofErr w:type="gramEnd"/>
            <w:r w:rsidRPr="00702B9F">
              <w:rPr>
                <w:rFonts w:ascii="Arial" w:hAnsi="Arial" w:cs="Arial"/>
                <w:sz w:val="22"/>
                <w:szCs w:val="22"/>
              </w:rPr>
              <w:t>. Gender specific predictors were identified. Interventions may need to be tailored by gender and girls may benefit from interventions at younger ages.</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08FB253" w:rsidR="00DA7A71" w:rsidRDefault="00602593" w:rsidP="00E36AD7">
            <w:pPr>
              <w:jc w:val="both"/>
              <w:rPr>
                <w:rFonts w:ascii="Arial" w:hAnsi="Arial" w:cs="Arial"/>
                <w:b/>
                <w:sz w:val="22"/>
                <w:szCs w:val="22"/>
              </w:rPr>
            </w:pPr>
            <w:r>
              <w:rPr>
                <w:rFonts w:ascii="Arial" w:hAnsi="Arial" w:cs="Arial"/>
                <w:sz w:val="22"/>
              </w:rPr>
              <w:t>Out-of-school</w:t>
            </w:r>
            <w:r w:rsidRPr="00702B9F">
              <w:rPr>
                <w:rFonts w:ascii="Arial" w:hAnsi="Arial" w:cs="Arial"/>
                <w:sz w:val="22"/>
                <w:szCs w:val="22"/>
              </w:rPr>
              <w:t xml:space="preserve"> exercise, trajectories, </w:t>
            </w:r>
            <w:r>
              <w:rPr>
                <w:rFonts w:ascii="Arial" w:hAnsi="Arial" w:cs="Arial"/>
                <w:sz w:val="22"/>
              </w:rPr>
              <w:t>childhood, adolescence, emerging adulthood</w:t>
            </w:r>
            <w:r w:rsidRPr="00702B9F">
              <w:rPr>
                <w:rFonts w:ascii="Arial" w:hAnsi="Arial" w:cs="Arial"/>
                <w:sz w:val="22"/>
                <w:szCs w:val="22"/>
              </w:rPr>
              <w:t>, gender differences</w:t>
            </w:r>
          </w:p>
          <w:p w14:paraId="5A4DE260" w14:textId="04384C95"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748A4" w14:textId="77777777" w:rsidR="0053754A" w:rsidRDefault="0053754A" w:rsidP="00732228">
      <w:r>
        <w:separator/>
      </w:r>
    </w:p>
  </w:endnote>
  <w:endnote w:type="continuationSeparator" w:id="0">
    <w:p w14:paraId="0C1FA573" w14:textId="77777777" w:rsidR="0053754A" w:rsidRDefault="0053754A" w:rsidP="0073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3330" w14:textId="77777777" w:rsidR="0053754A" w:rsidRDefault="0053754A" w:rsidP="00732228">
      <w:r>
        <w:separator/>
      </w:r>
    </w:p>
  </w:footnote>
  <w:footnote w:type="continuationSeparator" w:id="0">
    <w:p w14:paraId="37430C96" w14:textId="77777777" w:rsidR="0053754A" w:rsidRDefault="0053754A" w:rsidP="0073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3754A"/>
    <w:rsid w:val="00564331"/>
    <w:rsid w:val="00590824"/>
    <w:rsid w:val="005F7DC7"/>
    <w:rsid w:val="00602593"/>
    <w:rsid w:val="00610364"/>
    <w:rsid w:val="006605DB"/>
    <w:rsid w:val="00663BFF"/>
    <w:rsid w:val="006C6E32"/>
    <w:rsid w:val="0070252B"/>
    <w:rsid w:val="00714C46"/>
    <w:rsid w:val="00732228"/>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74064"/>
    <w:rsid w:val="00C84789"/>
    <w:rsid w:val="00C978A6"/>
    <w:rsid w:val="00CA0DE6"/>
    <w:rsid w:val="00CB2597"/>
    <w:rsid w:val="00CC5CF2"/>
    <w:rsid w:val="00CD0335"/>
    <w:rsid w:val="00CE496D"/>
    <w:rsid w:val="00CE5D57"/>
    <w:rsid w:val="00D06EDD"/>
    <w:rsid w:val="00D71EFE"/>
    <w:rsid w:val="00DA45EE"/>
    <w:rsid w:val="00DA7A71"/>
    <w:rsid w:val="00DC2C64"/>
    <w:rsid w:val="00DE6D44"/>
    <w:rsid w:val="00E0479B"/>
    <w:rsid w:val="00E36AD7"/>
    <w:rsid w:val="00E379B4"/>
    <w:rsid w:val="00E458B1"/>
    <w:rsid w:val="00F16B61"/>
    <w:rsid w:val="00F23A7F"/>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732228"/>
    <w:pPr>
      <w:tabs>
        <w:tab w:val="center" w:pos="4153"/>
        <w:tab w:val="right" w:pos="8306"/>
      </w:tabs>
      <w:snapToGrid w:val="0"/>
    </w:pPr>
    <w:rPr>
      <w:sz w:val="20"/>
      <w:szCs w:val="20"/>
    </w:rPr>
  </w:style>
  <w:style w:type="character" w:customStyle="1" w:styleId="HeaderChar">
    <w:name w:val="Header Char"/>
    <w:basedOn w:val="DefaultParagraphFont"/>
    <w:link w:val="Header"/>
    <w:rsid w:val="00732228"/>
    <w:rPr>
      <w:lang w:val="en-GB" w:eastAsia="en-US"/>
    </w:rPr>
  </w:style>
  <w:style w:type="paragraph" w:styleId="Footer">
    <w:name w:val="footer"/>
    <w:basedOn w:val="Normal"/>
    <w:link w:val="FooterChar"/>
    <w:unhideWhenUsed/>
    <w:rsid w:val="00732228"/>
    <w:pPr>
      <w:tabs>
        <w:tab w:val="center" w:pos="4153"/>
        <w:tab w:val="right" w:pos="8306"/>
      </w:tabs>
      <w:snapToGrid w:val="0"/>
    </w:pPr>
    <w:rPr>
      <w:sz w:val="20"/>
      <w:szCs w:val="20"/>
    </w:rPr>
  </w:style>
  <w:style w:type="character" w:customStyle="1" w:styleId="FooterChar">
    <w:name w:val="Footer Char"/>
    <w:basedOn w:val="DefaultParagraphFont"/>
    <w:link w:val="Footer"/>
    <w:rsid w:val="0073222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terms/"/>
    <ds:schemaRef ds:uri="http://www.w3.org/XML/1998/namespace"/>
    <ds:schemaRef ds:uri="6911e96c-4cc4-42d5-8e43-f93924cf6a05"/>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205DB53-B256-4541-9363-B7451409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2282</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2018-09-18T02:07:00Z</dcterms:created>
  <dcterms:modified xsi:type="dcterms:W3CDTF">2018-09-18T02:08:00Z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