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151FC789" w14:textId="77777777" w:rsidR="00A904A8" w:rsidRPr="00A904A8" w:rsidRDefault="00A904A8" w:rsidP="00706DED">
            <w:pPr>
              <w:jc w:val="both"/>
              <w:rPr>
                <w:rFonts w:ascii="Arial" w:hAnsi="Arial" w:cs="Arial"/>
                <w:bCs/>
                <w:i/>
                <w:iCs/>
                <w:sz w:val="22"/>
                <w:szCs w:val="22"/>
              </w:rPr>
            </w:pPr>
            <w:r w:rsidRPr="00A904A8">
              <w:rPr>
                <w:rFonts w:ascii="Arial" w:hAnsi="Arial" w:cs="Arial"/>
                <w:bCs/>
                <w:i/>
                <w:iCs/>
                <w:sz w:val="22"/>
                <w:szCs w:val="22"/>
              </w:rPr>
              <w:t>Paper</w:t>
            </w:r>
          </w:p>
          <w:p w14:paraId="2003E176" w14:textId="7F3685CB" w:rsidR="00C8423A" w:rsidRPr="00A904A8" w:rsidRDefault="00D00F08" w:rsidP="00706DED">
            <w:pPr>
              <w:jc w:val="both"/>
              <w:rPr>
                <w:rFonts w:ascii="Arial" w:hAnsi="Arial" w:cs="Arial"/>
                <w:b/>
                <w:sz w:val="22"/>
                <w:szCs w:val="22"/>
              </w:rPr>
            </w:pPr>
            <w:r w:rsidRPr="00A904A8">
              <w:rPr>
                <w:rFonts w:ascii="Arial" w:hAnsi="Arial" w:cs="Arial"/>
                <w:b/>
                <w:sz w:val="22"/>
                <w:szCs w:val="22"/>
              </w:rPr>
              <w:t>Facilitating adaptation in the insurance construction sector</w:t>
            </w:r>
          </w:p>
          <w:p w14:paraId="455B7926" w14:textId="5AC9FA35" w:rsidR="00D00F08" w:rsidRPr="00D00F08" w:rsidRDefault="00D00F08" w:rsidP="00706DED">
            <w:pPr>
              <w:jc w:val="both"/>
              <w:rPr>
                <w:rFonts w:ascii="Arial" w:hAnsi="Arial" w:cs="Arial"/>
                <w:bCs/>
                <w:i/>
                <w:iCs/>
                <w:sz w:val="22"/>
                <w:szCs w:val="22"/>
              </w:rPr>
            </w:pPr>
            <w:r w:rsidRPr="00D00F08">
              <w:rPr>
                <w:rFonts w:ascii="Arial" w:hAnsi="Arial" w:cs="Arial"/>
                <w:bCs/>
                <w:i/>
                <w:iCs/>
                <w:sz w:val="22"/>
                <w:szCs w:val="22"/>
              </w:rPr>
              <w:t>Alianne McArthur (nee Rance)</w:t>
            </w:r>
          </w:p>
          <w:p w14:paraId="73941723" w14:textId="038ABDCF" w:rsidR="00D00F08" w:rsidRPr="00D00F08" w:rsidRDefault="00D00F08" w:rsidP="00706DED">
            <w:pPr>
              <w:jc w:val="both"/>
              <w:rPr>
                <w:rFonts w:ascii="Arial" w:hAnsi="Arial" w:cs="Arial"/>
                <w:bCs/>
                <w:i/>
                <w:iCs/>
                <w:sz w:val="22"/>
                <w:szCs w:val="22"/>
              </w:rPr>
            </w:pPr>
            <w:r w:rsidRPr="00D00F08">
              <w:rPr>
                <w:rFonts w:ascii="Arial" w:hAnsi="Arial" w:cs="Arial"/>
                <w:bCs/>
                <w:i/>
                <w:iCs/>
                <w:sz w:val="22"/>
                <w:szCs w:val="22"/>
              </w:rPr>
              <w:t>ARC Projects</w:t>
            </w:r>
          </w:p>
          <w:p w14:paraId="3F7D1534" w14:textId="1399CD83" w:rsidR="00C8423A" w:rsidRPr="009C75AE" w:rsidRDefault="00C8423A" w:rsidP="00A904A8">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68247AB" w14:textId="38B28294" w:rsidR="00D00F08" w:rsidRPr="00D00F08" w:rsidRDefault="00D00F08" w:rsidP="00706DED">
            <w:pPr>
              <w:jc w:val="both"/>
              <w:rPr>
                <w:rFonts w:ascii="Arial" w:hAnsi="Arial" w:cs="Arial"/>
                <w:bCs/>
                <w:sz w:val="22"/>
                <w:szCs w:val="22"/>
              </w:rPr>
            </w:pPr>
            <w:r>
              <w:rPr>
                <w:rFonts w:ascii="Arial" w:hAnsi="Arial" w:cs="Arial"/>
                <w:bCs/>
                <w:sz w:val="22"/>
                <w:szCs w:val="22"/>
              </w:rPr>
              <w:t xml:space="preserve">The insurance construction sector is built on damage and disaster in a collaborative effort to rebuild by asset owners, insurers and insurance builders. The questions remain: Are we building better? Are we avoiding future damage from increasing impacts of extreme events associated with climate change and facilitating adaptation, or are we facilitating maladaptation? In a sector that historically hasn’t asked these questions transparently, ARC Projects, a private Australian and New Zealand operating insurance builder seeks to test the theory with a well-known insurance company forging its way in the sustainability and resilience space.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0F5C23F7" w14:textId="6C2B24C8" w:rsidR="00D00F08" w:rsidRPr="00D00F08" w:rsidRDefault="00D00F08" w:rsidP="00706DED">
            <w:pPr>
              <w:jc w:val="both"/>
              <w:rPr>
                <w:rFonts w:ascii="Arial" w:hAnsi="Arial" w:cs="Arial"/>
                <w:bCs/>
                <w:sz w:val="22"/>
                <w:szCs w:val="22"/>
              </w:rPr>
            </w:pPr>
            <w:r>
              <w:rPr>
                <w:rFonts w:ascii="Arial" w:hAnsi="Arial" w:cs="Arial"/>
                <w:bCs/>
                <w:sz w:val="22"/>
                <w:szCs w:val="22"/>
              </w:rPr>
              <w:t xml:space="preserve">To monitor and report on adaptation and generalised sustainability measures incorporated into a series of project case studies in South-East Queensland. Through sub-contractor training and reporting to ARC Projects, with projects provided by the insurer, we </w:t>
            </w:r>
            <w:proofErr w:type="gramStart"/>
            <w:r>
              <w:rPr>
                <w:rFonts w:ascii="Arial" w:hAnsi="Arial" w:cs="Arial"/>
                <w:bCs/>
                <w:sz w:val="22"/>
                <w:szCs w:val="22"/>
              </w:rPr>
              <w:t>are able to</w:t>
            </w:r>
            <w:proofErr w:type="gramEnd"/>
            <w:r>
              <w:rPr>
                <w:rFonts w:ascii="Arial" w:hAnsi="Arial" w:cs="Arial"/>
                <w:bCs/>
                <w:sz w:val="22"/>
                <w:szCs w:val="22"/>
              </w:rPr>
              <w:t xml:space="preserve"> determine what measures, if any, can be considered effective adaptation measures and how these have been implemented. </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A991579" w14:textId="660F3911" w:rsidR="00D00F08" w:rsidRDefault="00D00F08" w:rsidP="00706DED">
            <w:pPr>
              <w:jc w:val="both"/>
              <w:rPr>
                <w:rFonts w:ascii="Arial" w:hAnsi="Arial" w:cs="Arial"/>
                <w:bCs/>
                <w:sz w:val="22"/>
                <w:szCs w:val="22"/>
              </w:rPr>
            </w:pPr>
            <w:r>
              <w:rPr>
                <w:rFonts w:ascii="Arial" w:hAnsi="Arial" w:cs="Arial"/>
                <w:bCs/>
                <w:sz w:val="22"/>
                <w:szCs w:val="22"/>
              </w:rPr>
              <w:t xml:space="preserve">In partnership with its client insurer, ARC Projects is tracking and reporting the implementation of 10 case studies across South-East Queensland. </w:t>
            </w:r>
          </w:p>
          <w:p w14:paraId="1F0E9769" w14:textId="194798CA" w:rsidR="00D00F08" w:rsidRDefault="00D00F08" w:rsidP="00D00F08">
            <w:pPr>
              <w:pStyle w:val="ListParagraph"/>
              <w:numPr>
                <w:ilvl w:val="0"/>
                <w:numId w:val="4"/>
              </w:numPr>
              <w:jc w:val="both"/>
              <w:rPr>
                <w:rFonts w:ascii="Arial" w:hAnsi="Arial" w:cs="Arial"/>
                <w:bCs/>
                <w:sz w:val="22"/>
                <w:szCs w:val="22"/>
              </w:rPr>
            </w:pPr>
            <w:r>
              <w:rPr>
                <w:rFonts w:ascii="Arial" w:hAnsi="Arial" w:cs="Arial"/>
                <w:bCs/>
                <w:sz w:val="22"/>
                <w:szCs w:val="22"/>
              </w:rPr>
              <w:t>Sub-contractor training on sustainability and adaptation</w:t>
            </w:r>
          </w:p>
          <w:p w14:paraId="767B5FED" w14:textId="10CFA3DC" w:rsidR="00D00F08" w:rsidRDefault="00D00F08" w:rsidP="00D00F08">
            <w:pPr>
              <w:pStyle w:val="ListParagraph"/>
              <w:numPr>
                <w:ilvl w:val="0"/>
                <w:numId w:val="4"/>
              </w:numPr>
              <w:jc w:val="both"/>
              <w:rPr>
                <w:rFonts w:ascii="Arial" w:hAnsi="Arial" w:cs="Arial"/>
                <w:bCs/>
                <w:sz w:val="22"/>
                <w:szCs w:val="22"/>
              </w:rPr>
            </w:pPr>
            <w:r>
              <w:rPr>
                <w:rFonts w:ascii="Arial" w:hAnsi="Arial" w:cs="Arial"/>
                <w:bCs/>
                <w:sz w:val="22"/>
                <w:szCs w:val="22"/>
              </w:rPr>
              <w:t>Random case study selection by insurer</w:t>
            </w:r>
          </w:p>
          <w:p w14:paraId="5BF2060E" w14:textId="49081FF2" w:rsidR="00D00F08" w:rsidRDefault="00D00F08" w:rsidP="00D00F08">
            <w:pPr>
              <w:pStyle w:val="ListParagraph"/>
              <w:numPr>
                <w:ilvl w:val="0"/>
                <w:numId w:val="4"/>
              </w:numPr>
              <w:jc w:val="both"/>
              <w:rPr>
                <w:rFonts w:ascii="Arial" w:hAnsi="Arial" w:cs="Arial"/>
                <w:bCs/>
                <w:sz w:val="22"/>
                <w:szCs w:val="22"/>
              </w:rPr>
            </w:pPr>
            <w:r>
              <w:rPr>
                <w:rFonts w:ascii="Arial" w:hAnsi="Arial" w:cs="Arial"/>
                <w:bCs/>
                <w:sz w:val="22"/>
                <w:szCs w:val="22"/>
              </w:rPr>
              <w:t>Job assessment and sub-contractor allocation through ARC Projects PM</w:t>
            </w:r>
          </w:p>
          <w:p w14:paraId="3E08787C" w14:textId="4E4103B5" w:rsidR="00D00F08" w:rsidRDefault="00D00F08" w:rsidP="00D00F08">
            <w:pPr>
              <w:pStyle w:val="ListParagraph"/>
              <w:numPr>
                <w:ilvl w:val="0"/>
                <w:numId w:val="4"/>
              </w:numPr>
              <w:jc w:val="both"/>
              <w:rPr>
                <w:rFonts w:ascii="Arial" w:hAnsi="Arial" w:cs="Arial"/>
                <w:bCs/>
                <w:sz w:val="22"/>
                <w:szCs w:val="22"/>
              </w:rPr>
            </w:pPr>
            <w:r>
              <w:rPr>
                <w:rFonts w:ascii="Arial" w:hAnsi="Arial" w:cs="Arial"/>
                <w:bCs/>
                <w:sz w:val="22"/>
                <w:szCs w:val="22"/>
              </w:rPr>
              <w:t xml:space="preserve">Project operation with live tracking: monitoring to include sub-contractor travel, materials selected, measures implemented with decision pathways and costs associated. </w:t>
            </w:r>
          </w:p>
          <w:p w14:paraId="17EC714F" w14:textId="0CF36184" w:rsidR="00D00F08" w:rsidRDefault="00D00F08" w:rsidP="00D00F08">
            <w:pPr>
              <w:pStyle w:val="ListParagraph"/>
              <w:numPr>
                <w:ilvl w:val="0"/>
                <w:numId w:val="4"/>
              </w:numPr>
              <w:jc w:val="both"/>
              <w:rPr>
                <w:rFonts w:ascii="Arial" w:hAnsi="Arial" w:cs="Arial"/>
                <w:bCs/>
                <w:sz w:val="22"/>
                <w:szCs w:val="22"/>
              </w:rPr>
            </w:pPr>
            <w:r>
              <w:rPr>
                <w:rFonts w:ascii="Arial" w:hAnsi="Arial" w:cs="Arial"/>
                <w:bCs/>
                <w:sz w:val="22"/>
                <w:szCs w:val="22"/>
              </w:rPr>
              <w:t>Project reporting and comparison with insurer</w:t>
            </w:r>
          </w:p>
          <w:p w14:paraId="0158E035" w14:textId="07DB17AD" w:rsidR="00D00F08" w:rsidRDefault="00D00F08" w:rsidP="00D00F08">
            <w:pPr>
              <w:pStyle w:val="ListParagraph"/>
              <w:numPr>
                <w:ilvl w:val="0"/>
                <w:numId w:val="4"/>
              </w:numPr>
              <w:jc w:val="both"/>
              <w:rPr>
                <w:rFonts w:ascii="Arial" w:hAnsi="Arial" w:cs="Arial"/>
                <w:bCs/>
                <w:sz w:val="22"/>
                <w:szCs w:val="22"/>
              </w:rPr>
            </w:pPr>
            <w:r>
              <w:rPr>
                <w:rFonts w:ascii="Arial" w:hAnsi="Arial" w:cs="Arial"/>
                <w:bCs/>
                <w:sz w:val="22"/>
                <w:szCs w:val="22"/>
              </w:rPr>
              <w:t>Collation of findings</w:t>
            </w:r>
          </w:p>
          <w:p w14:paraId="7D273003" w14:textId="79AC129B" w:rsidR="00D00F08" w:rsidRPr="00D00F08" w:rsidRDefault="00D00F08" w:rsidP="00706DED">
            <w:pPr>
              <w:pStyle w:val="ListParagraph"/>
              <w:numPr>
                <w:ilvl w:val="0"/>
                <w:numId w:val="4"/>
              </w:numPr>
              <w:jc w:val="both"/>
              <w:rPr>
                <w:rFonts w:ascii="Arial" w:hAnsi="Arial" w:cs="Arial"/>
                <w:bCs/>
                <w:sz w:val="22"/>
                <w:szCs w:val="22"/>
              </w:rPr>
            </w:pPr>
            <w:r>
              <w:rPr>
                <w:rFonts w:ascii="Arial" w:hAnsi="Arial" w:cs="Arial"/>
                <w:bCs/>
                <w:sz w:val="22"/>
                <w:szCs w:val="22"/>
              </w:rPr>
              <w:t>Reporting and recommendations</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6EE5B590" w14:textId="323D0D29" w:rsidR="00D00F08" w:rsidRPr="00D00F08" w:rsidRDefault="00D00F08" w:rsidP="00706DED">
            <w:pPr>
              <w:jc w:val="both"/>
              <w:rPr>
                <w:rFonts w:ascii="Arial" w:hAnsi="Arial" w:cs="Arial"/>
                <w:bCs/>
                <w:sz w:val="22"/>
                <w:szCs w:val="22"/>
              </w:rPr>
            </w:pPr>
            <w:r>
              <w:rPr>
                <w:rFonts w:ascii="Arial" w:hAnsi="Arial" w:cs="Arial"/>
                <w:bCs/>
                <w:sz w:val="22"/>
                <w:szCs w:val="22"/>
              </w:rPr>
              <w:t xml:space="preserve">Project findings will be collated by the time of the conference and presented transparently with recommendations for a wider roll-out of this case study experience. </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3F6A4CAF" w:rsidR="00BE58D6" w:rsidRPr="00D00F08" w:rsidRDefault="00D00F08" w:rsidP="00706DED">
            <w:pPr>
              <w:jc w:val="both"/>
              <w:rPr>
                <w:rFonts w:ascii="Arial" w:hAnsi="Arial" w:cs="Arial"/>
                <w:bCs/>
                <w:sz w:val="22"/>
                <w:szCs w:val="22"/>
              </w:rPr>
            </w:pPr>
            <w:r>
              <w:rPr>
                <w:rFonts w:ascii="Arial" w:hAnsi="Arial" w:cs="Arial"/>
                <w:bCs/>
                <w:sz w:val="22"/>
                <w:szCs w:val="22"/>
              </w:rPr>
              <w:t xml:space="preserve">This project seeks to inform both regulators and industry standards. Examples include the Insurance Council of Australia, Master Builders Australia and associated Government Agencies of which our partner insurer sits on a steering committee. This case study investigation seeks to be transparent and aims to break ground </w:t>
            </w:r>
            <w:proofErr w:type="gramStart"/>
            <w:r>
              <w:rPr>
                <w:rFonts w:ascii="Arial" w:hAnsi="Arial" w:cs="Arial"/>
                <w:bCs/>
                <w:sz w:val="22"/>
                <w:szCs w:val="22"/>
              </w:rPr>
              <w:t>in order to</w:t>
            </w:r>
            <w:proofErr w:type="gramEnd"/>
            <w:r>
              <w:rPr>
                <w:rFonts w:ascii="Arial" w:hAnsi="Arial" w:cs="Arial"/>
                <w:bCs/>
                <w:sz w:val="22"/>
                <w:szCs w:val="22"/>
              </w:rPr>
              <w:t xml:space="preserve"> increase the resilience of the built environment and how to avoid future impact.</w:t>
            </w:r>
          </w:p>
          <w:p w14:paraId="4D7B65A8"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69D6734"/>
    <w:multiLevelType w:val="hybridMultilevel"/>
    <w:tmpl w:val="0A92F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1371296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2124"/>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2741D"/>
    <w:rsid w:val="00A904A8"/>
    <w:rsid w:val="00B026E8"/>
    <w:rsid w:val="00BA0872"/>
    <w:rsid w:val="00BA26BB"/>
    <w:rsid w:val="00BC6810"/>
    <w:rsid w:val="00BE0B4D"/>
    <w:rsid w:val="00BE58D6"/>
    <w:rsid w:val="00C26081"/>
    <w:rsid w:val="00C4126D"/>
    <w:rsid w:val="00C76C99"/>
    <w:rsid w:val="00C8423A"/>
    <w:rsid w:val="00CE53FE"/>
    <w:rsid w:val="00D00F08"/>
    <w:rsid w:val="00D716AD"/>
    <w:rsid w:val="00D74A15"/>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1AD9680A-CC24-4593-A2BD-A31C1C0F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purl.org/dc/elements/1.1/"/>
    <ds:schemaRef ds:uri="http://www.w3.org/XML/1998/namespace"/>
    <ds:schemaRef ds:uri="cab52c9b-ab33-4221-8af9-54f8f2b86a80"/>
    <ds:schemaRef ds:uri="9c8a2b7b-0bee-4c48-b0a6-23db8982d3bc"/>
    <ds:schemaRef ds:uri="6911e96c-4cc4-42d5-8e43-f93924cf6a05"/>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359</Words>
  <Characters>2051</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2025-02-13T04:33:00Z</dcterms:created>
  <dcterms:modified xsi:type="dcterms:W3CDTF">2025-08-11T23:28:00Z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