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8A7AD" w14:textId="142B7AE0" w:rsidR="003E50A9" w:rsidRPr="00B07E5B" w:rsidRDefault="00B07E5B" w:rsidP="003E50A9">
      <w:pPr>
        <w:rPr>
          <w:b/>
          <w:bCs/>
          <w:i/>
          <w:iCs/>
        </w:rPr>
      </w:pPr>
      <w:r w:rsidRPr="00B07E5B">
        <w:rPr>
          <w:i/>
          <w:iCs/>
        </w:rPr>
        <w:t xml:space="preserve">Paper </w:t>
      </w:r>
    </w:p>
    <w:p w14:paraId="71C0FC56" w14:textId="2DF58867" w:rsidR="003E50A9" w:rsidRPr="00B07E5B" w:rsidRDefault="003E50A9" w:rsidP="003E50A9">
      <w:pPr>
        <w:rPr>
          <w:b/>
          <w:bCs/>
        </w:rPr>
      </w:pPr>
      <w:r w:rsidRPr="00B07E5B">
        <w:rPr>
          <w:b/>
          <w:bCs/>
        </w:rPr>
        <w:t xml:space="preserve">Principles for adaptive marine protected area (MPA) planning in response to </w:t>
      </w:r>
      <w:r w:rsidR="00E02E20" w:rsidRPr="00B07E5B">
        <w:rPr>
          <w:b/>
          <w:bCs/>
        </w:rPr>
        <w:t xml:space="preserve">a changing </w:t>
      </w:r>
      <w:r w:rsidRPr="00B07E5B">
        <w:rPr>
          <w:b/>
          <w:bCs/>
        </w:rPr>
        <w:t>climate</w:t>
      </w:r>
    </w:p>
    <w:p w14:paraId="64A5985E" w14:textId="77777777" w:rsidR="003E50A9" w:rsidRDefault="003E50A9" w:rsidP="003E50A9">
      <w:pPr>
        <w:rPr>
          <w:b/>
        </w:rPr>
      </w:pPr>
    </w:p>
    <w:p w14:paraId="1FE9EF5A" w14:textId="77777777" w:rsidR="00B07E5B" w:rsidRDefault="00B07E5B"/>
    <w:p w14:paraId="31E2C567" w14:textId="11815EB3" w:rsidR="001D05C2" w:rsidRDefault="009445B7">
      <w:r>
        <w:t xml:space="preserve">Enabling and accelerating the implementation of adaptive </w:t>
      </w:r>
      <w:r w:rsidR="003E50A9">
        <w:t>protected area networks</w:t>
      </w:r>
      <w:r>
        <w:t xml:space="preserve"> and</w:t>
      </w:r>
      <w:r w:rsidR="003E50A9">
        <w:t xml:space="preserve"> other effective area-based conservation measures (</w:t>
      </w:r>
      <w:r>
        <w:t>OECM</w:t>
      </w:r>
      <w:r w:rsidR="003E50A9">
        <w:t>s)</w:t>
      </w:r>
      <w:r>
        <w:t xml:space="preserve"> is a core area of need that </w:t>
      </w:r>
      <w:r w:rsidR="000449BB">
        <w:t xml:space="preserve">will help to maintain their efficacy as </w:t>
      </w:r>
      <w:r w:rsidR="003E50A9">
        <w:t>cornerstones of conservation and</w:t>
      </w:r>
      <w:r w:rsidR="000449BB">
        <w:t xml:space="preserve"> natural resource management</w:t>
      </w:r>
      <w:r w:rsidR="00695EC7">
        <w:t xml:space="preserve"> under a changing climate</w:t>
      </w:r>
      <w:r w:rsidR="000449BB">
        <w:t>.</w:t>
      </w:r>
      <w:r>
        <w:t xml:space="preserve"> </w:t>
      </w:r>
      <w:r w:rsidR="000449BB">
        <w:t>To support these needs, the IUCN’s Protected Areas and Climate Change Specialist Group and the International Partnership on Marine Protected Areas (MPAs), Biodiversity and Climate Change</w:t>
      </w:r>
      <w:r>
        <w:t xml:space="preserve"> </w:t>
      </w:r>
      <w:r w:rsidR="000449BB">
        <w:t xml:space="preserve">initiated a series of workshops to develop best practice guidance on this topic. The workshops followed an international working group format with participation from science and policy experts working on the intersection </w:t>
      </w:r>
      <w:r w:rsidR="003E50A9">
        <w:t>of</w:t>
      </w:r>
      <w:r w:rsidR="000449BB">
        <w:t xml:space="preserve"> climate change, protected areas and spatial planning in coastal and marine environments.</w:t>
      </w:r>
      <w:r w:rsidR="003E50A9">
        <w:t xml:space="preserve"> </w:t>
      </w:r>
      <w:r w:rsidR="00AD387B" w:rsidRPr="00AD387B">
        <w:t>Th</w:t>
      </w:r>
      <w:r w:rsidR="003E50A9">
        <w:t>e</w:t>
      </w:r>
      <w:r w:rsidR="00AD387B" w:rsidRPr="00AD387B">
        <w:t xml:space="preserve"> guidance aims to inform the planning, design, and implementation of new and expanding MPAs, OECMs, areas conserved by Indigenous Peoples, and networks of protected and conserved areas at the community, national, and international levels. </w:t>
      </w:r>
      <w:r w:rsidR="003E50A9">
        <w:t>It has a specific</w:t>
      </w:r>
      <w:r w:rsidR="00AD387B" w:rsidRPr="00AD387B">
        <w:t xml:space="preserve"> emphasis on why it is important to include considerations of climate change in MPA planning, and how these new areas can be established in ways that </w:t>
      </w:r>
      <w:r w:rsidR="003E50A9">
        <w:t>can improve</w:t>
      </w:r>
      <w:r w:rsidR="00AD387B" w:rsidRPr="00AD387B">
        <w:t xml:space="preserve"> climate resilience, adaptation, and mitigation </w:t>
      </w:r>
      <w:r w:rsidR="003E50A9">
        <w:t>outcomes</w:t>
      </w:r>
      <w:r w:rsidR="00AD387B" w:rsidRPr="00AD387B">
        <w:t>.</w:t>
      </w:r>
      <w:r w:rsidR="003E50A9">
        <w:t xml:space="preserve"> </w:t>
      </w:r>
      <w:r w:rsidR="00AD387B">
        <w:t>The project identified and defin</w:t>
      </w:r>
      <w:r w:rsidR="002B03A2">
        <w:t>ed</w:t>
      </w:r>
      <w:r w:rsidR="00AD387B">
        <w:t xml:space="preserve"> a set of four guiding principles</w:t>
      </w:r>
      <w:r w:rsidR="002B03A2">
        <w:t xml:space="preserve"> that provide a solid foundation for creating climate-informed MPAs and OECMs:</w:t>
      </w:r>
      <w:r w:rsidR="001D05C2">
        <w:t xml:space="preserve"> </w:t>
      </w:r>
      <w:r w:rsidR="00AD387B">
        <w:t xml:space="preserve">understanding change, adaptive and resilient, equitable design, and holistic co-benefits. </w:t>
      </w:r>
      <w:r w:rsidR="00AD387B">
        <w:rPr>
          <w:i/>
        </w:rPr>
        <w:t>Understanding change</w:t>
      </w:r>
      <w:r w:rsidR="00AD387B">
        <w:t xml:space="preserve"> requires </w:t>
      </w:r>
      <w:r w:rsidR="0037228A">
        <w:t xml:space="preserve">that </w:t>
      </w:r>
      <w:proofErr w:type="gramStart"/>
      <w:r w:rsidR="0037228A">
        <w:t>policy-makers</w:t>
      </w:r>
      <w:proofErr w:type="gramEnd"/>
      <w:r w:rsidR="0037228A">
        <w:t xml:space="preserve"> and </w:t>
      </w:r>
      <w:r w:rsidR="00AD387B">
        <w:t>managers</w:t>
      </w:r>
      <w:r w:rsidR="00AD387B">
        <w:rPr>
          <w:i/>
        </w:rPr>
        <w:t xml:space="preserve"> </w:t>
      </w:r>
      <w:r w:rsidR="00AD387B">
        <w:t xml:space="preserve">understand current and future environmental and </w:t>
      </w:r>
      <w:r w:rsidR="00833404">
        <w:t>social-</w:t>
      </w:r>
      <w:r w:rsidR="00AD387B">
        <w:t xml:space="preserve">ecological conditions, as well as </w:t>
      </w:r>
      <w:r w:rsidR="0037228A">
        <w:t xml:space="preserve">the roles of </w:t>
      </w:r>
      <w:r w:rsidR="00AD387B">
        <w:t xml:space="preserve">climate and non-climate stressors, through assessments of current conditions and potential vulnerabilities, and </w:t>
      </w:r>
      <w:r w:rsidR="00833404">
        <w:t>through</w:t>
      </w:r>
      <w:r w:rsidR="00AD387B">
        <w:t xml:space="preserve"> monitoring to </w:t>
      </w:r>
      <w:r w:rsidR="0037228A">
        <w:t>gauge the pace of change</w:t>
      </w:r>
      <w:r w:rsidR="00833404">
        <w:t xml:space="preserve"> against baselines</w:t>
      </w:r>
      <w:r w:rsidR="00AD387B">
        <w:t xml:space="preserve">. </w:t>
      </w:r>
      <w:r w:rsidR="0037228A">
        <w:t>A</w:t>
      </w:r>
      <w:r w:rsidR="00AD387B">
        <w:rPr>
          <w:i/>
        </w:rPr>
        <w:t>daptive and resilient</w:t>
      </w:r>
      <w:r w:rsidR="00AD387B">
        <w:t xml:space="preserve"> refers to actions </w:t>
      </w:r>
      <w:r w:rsidR="0037228A">
        <w:t xml:space="preserve">that respond to climate change such </w:t>
      </w:r>
      <w:r w:rsidR="00AD387B">
        <w:t xml:space="preserve">as </w:t>
      </w:r>
      <w:r w:rsidR="0037228A">
        <w:t xml:space="preserve">the </w:t>
      </w:r>
      <w:r w:rsidR="00AD387B">
        <w:t>inclu</w:t>
      </w:r>
      <w:r w:rsidR="0037228A">
        <w:t>sion of</w:t>
      </w:r>
      <w:r w:rsidR="00AD387B">
        <w:t xml:space="preserve"> climate-smart goals and objectives </w:t>
      </w:r>
      <w:r w:rsidR="0037228A">
        <w:t xml:space="preserve">in management plans for MPAs or </w:t>
      </w:r>
      <w:r w:rsidR="00AD387B">
        <w:t>OECM</w:t>
      </w:r>
      <w:r w:rsidR="0037228A">
        <w:t>s</w:t>
      </w:r>
      <w:r w:rsidR="0037228A" w:rsidRPr="0037228A">
        <w:t xml:space="preserve"> </w:t>
      </w:r>
      <w:r w:rsidR="0037228A">
        <w:t>and in wider spatial planning policy</w:t>
      </w:r>
      <w:r w:rsidR="00AD387B">
        <w:t>; designing boundaries that allow for the lasting protection for target ecosystems and features; and targeting adaptation actions, such as habitat restoration and</w:t>
      </w:r>
      <w:r w:rsidR="0037228A">
        <w:t xml:space="preserve"> the</w:t>
      </w:r>
      <w:r w:rsidR="00AD387B">
        <w:t xml:space="preserve"> reduc</w:t>
      </w:r>
      <w:r w:rsidR="0037228A">
        <w:t>tion of</w:t>
      </w:r>
      <w:r w:rsidR="00AD387B">
        <w:t xml:space="preserve"> non-climate stressors </w:t>
      </w:r>
      <w:r w:rsidR="0037228A">
        <w:t>as practical strategies t</w:t>
      </w:r>
      <w:r w:rsidR="008A4157">
        <w:t>o</w:t>
      </w:r>
      <w:r w:rsidR="0037228A">
        <w:t xml:space="preserve"> improve </w:t>
      </w:r>
      <w:r w:rsidR="008A4157">
        <w:t xml:space="preserve">the </w:t>
      </w:r>
      <w:r w:rsidR="0037228A">
        <w:t>resilience</w:t>
      </w:r>
      <w:r w:rsidR="008A4157">
        <w:t xml:space="preserve"> of ecosystems to future conditions such as </w:t>
      </w:r>
      <w:r w:rsidR="0037228A">
        <w:t>extreme event</w:t>
      </w:r>
      <w:r w:rsidR="008A4157">
        <w:t>s</w:t>
      </w:r>
      <w:r w:rsidR="0037228A">
        <w:t xml:space="preserve"> driven by climate</w:t>
      </w:r>
      <w:r w:rsidR="00AD387B">
        <w:t xml:space="preserve">.  </w:t>
      </w:r>
      <w:r w:rsidR="00AD387B">
        <w:rPr>
          <w:i/>
        </w:rPr>
        <w:t>Equitable design</w:t>
      </w:r>
      <w:r w:rsidR="00AD387B">
        <w:t xml:space="preserve"> is </w:t>
      </w:r>
      <w:r w:rsidR="00833404">
        <w:t xml:space="preserve">already </w:t>
      </w:r>
      <w:r w:rsidR="00AD387B">
        <w:t xml:space="preserve">fundamental to all </w:t>
      </w:r>
      <w:r w:rsidR="0037228A">
        <w:t xml:space="preserve">spatial planning and </w:t>
      </w:r>
      <w:r w:rsidR="00AD387B">
        <w:t xml:space="preserve">protected area </w:t>
      </w:r>
      <w:r w:rsidR="0037228A">
        <w:t>design</w:t>
      </w:r>
      <w:r w:rsidR="00AD387B">
        <w:t xml:space="preserve"> and </w:t>
      </w:r>
      <w:r w:rsidR="0037228A">
        <w:t>management contexts</w:t>
      </w:r>
      <w:r w:rsidR="00833404">
        <w:t xml:space="preserve">. However, its implementation will </w:t>
      </w:r>
      <w:r w:rsidR="008A4157">
        <w:t>face</w:t>
      </w:r>
      <w:r w:rsidR="00833404">
        <w:t xml:space="preserve"> new challenges </w:t>
      </w:r>
      <w:r w:rsidR="00AD387B" w:rsidRPr="00AD387B">
        <w:t xml:space="preserve">as climate change magnifies existing inequities and disproportionately affects marginalized communities. </w:t>
      </w:r>
      <w:r w:rsidR="00833404">
        <w:t>Consequent</w:t>
      </w:r>
      <w:r w:rsidR="00DE3C57">
        <w:t>ly</w:t>
      </w:r>
      <w:r w:rsidR="00833404">
        <w:t xml:space="preserve">, these must become a specific focus </w:t>
      </w:r>
      <w:r w:rsidR="008A4157">
        <w:t xml:space="preserve">for spatial planning </w:t>
      </w:r>
      <w:r w:rsidR="00833404">
        <w:t xml:space="preserve">to support equitable modalities </w:t>
      </w:r>
      <w:r w:rsidR="008A4157">
        <w:t>of</w:t>
      </w:r>
      <w:r w:rsidR="00833404">
        <w:t xml:space="preserve"> climate action. </w:t>
      </w:r>
      <w:r w:rsidR="00D63333" w:rsidRPr="00C22704">
        <w:rPr>
          <w:i/>
          <w:iCs/>
        </w:rPr>
        <w:t>Designing for holistic co-benefits</w:t>
      </w:r>
      <w:r w:rsidR="00D63333" w:rsidRPr="00D63333">
        <w:t xml:space="preserve"> informs and enables the other principles by requiring attention to the range of benefits that are affected by ext</w:t>
      </w:r>
      <w:r w:rsidR="00D63333">
        <w:t>r</w:t>
      </w:r>
      <w:r w:rsidR="00D63333" w:rsidRPr="00D63333">
        <w:t xml:space="preserve">eme events and long-term changes or human responses to those changes.  </w:t>
      </w:r>
      <w:r w:rsidR="00D63333">
        <w:t>In this paper w</w:t>
      </w:r>
      <w:r w:rsidR="00AD387B">
        <w:t xml:space="preserve">e provide an overview of each of the four principles </w:t>
      </w:r>
      <w:r w:rsidR="00731245">
        <w:t>and</w:t>
      </w:r>
      <w:r w:rsidR="00AD387B">
        <w:t xml:space="preserve"> their underlying rationale </w:t>
      </w:r>
      <w:r w:rsidR="00731245">
        <w:t xml:space="preserve">along with case studies that illustrate their practical implementation in planning contexts from around the </w:t>
      </w:r>
      <w:r w:rsidR="00D63333">
        <w:t>globe</w:t>
      </w:r>
      <w:r w:rsidR="00731245">
        <w:t>.</w:t>
      </w:r>
      <w:r w:rsidR="00D63333">
        <w:t xml:space="preserve"> </w:t>
      </w:r>
      <w:r w:rsidR="00E02E20">
        <w:t>T</w:t>
      </w:r>
      <w:r w:rsidR="00731245">
        <w:t xml:space="preserve">he next five to ten years present a critical opportunity to establish policies and practices that will </w:t>
      </w:r>
      <w:r w:rsidR="00B61544">
        <w:t>future proof</w:t>
      </w:r>
      <w:r w:rsidR="00E02E20">
        <w:t xml:space="preserve"> the role of</w:t>
      </w:r>
      <w:r w:rsidR="00731245">
        <w:t xml:space="preserve"> </w:t>
      </w:r>
      <w:r w:rsidR="00E02E20">
        <w:t xml:space="preserve">MPAs and OECMs as fundamental </w:t>
      </w:r>
      <w:r w:rsidR="00731245">
        <w:t>conservation tool</w:t>
      </w:r>
      <w:r w:rsidR="00E02E20">
        <w:t>s that are resilient and adaptive to climate.</w:t>
      </w:r>
    </w:p>
    <w:sectPr w:rsidR="001D05C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F3CB26B-B88D-4896-BC5F-B71D6080B8CF}"/>
    <w:embedBold r:id="rId2" w:fontKey="{3C8D1EAF-C657-4648-A010-03D8FCDC7782}"/>
    <w:embedItalic r:id="rId3" w:fontKey="{5EFD9E11-2316-48E2-86FC-347471514117}"/>
    <w:embedBoldItalic r:id="rId4" w:fontKey="{48989CF8-C0EA-4E8F-836E-DBE8729140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165B682A-044B-4275-86E2-49F6CE3412AA}"/>
  </w:font>
  <w:font w:name="Aptos Display">
    <w:charset w:val="00"/>
    <w:family w:val="swiss"/>
    <w:pitch w:val="variable"/>
    <w:sig w:usb0="20000287" w:usb1="00000003" w:usb2="00000000" w:usb3="00000000" w:csb0="0000019F" w:csb1="00000000"/>
    <w:embedRegular r:id="rId6" w:fontKey="{7482F076-0E44-4494-AE21-05029374BB64}"/>
  </w:font>
  <w:font w:name="Georgia">
    <w:panose1 w:val="02040502050405020303"/>
    <w:charset w:val="00"/>
    <w:family w:val="roman"/>
    <w:pitch w:val="variable"/>
    <w:sig w:usb0="00000287" w:usb1="00000000" w:usb2="00000000" w:usb3="00000000" w:csb0="0000009F" w:csb1="00000000"/>
    <w:embedRegular r:id="rId7" w:fontKey="{30CB50BB-1641-4DCD-A6B8-EC40975539AF}"/>
    <w:embedItalic r:id="rId8" w:fontKey="{DB04F2EF-D8FF-47FC-9CD7-EFA9BF9806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8216F"/>
    <w:multiLevelType w:val="hybridMultilevel"/>
    <w:tmpl w:val="A104B3F2"/>
    <w:lvl w:ilvl="0" w:tplc="F8C675A4">
      <w:start w:val="1"/>
      <w:numFmt w:val="bullet"/>
      <w:lvlText w:val=""/>
      <w:lvlJc w:val="left"/>
      <w:pPr>
        <w:ind w:left="720" w:hanging="360"/>
      </w:pPr>
      <w:rPr>
        <w:rFonts w:ascii="Symbol" w:eastAsia="Aptos" w:hAnsi="Symbol" w:cs="Apto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2CC3172"/>
    <w:multiLevelType w:val="hybridMultilevel"/>
    <w:tmpl w:val="49D601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1464389"/>
    <w:multiLevelType w:val="hybridMultilevel"/>
    <w:tmpl w:val="178476CA"/>
    <w:lvl w:ilvl="0" w:tplc="88989CD4">
      <w:start w:val="1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23028715">
    <w:abstractNumId w:val="2"/>
  </w:num>
  <w:num w:numId="2" w16cid:durableId="1225144716">
    <w:abstractNumId w:val="0"/>
  </w:num>
  <w:num w:numId="3" w16cid:durableId="1316374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5B9"/>
    <w:rsid w:val="000043E5"/>
    <w:rsid w:val="00015F07"/>
    <w:rsid w:val="000449BB"/>
    <w:rsid w:val="000D09E4"/>
    <w:rsid w:val="000D6475"/>
    <w:rsid w:val="001A45B9"/>
    <w:rsid w:val="001C1873"/>
    <w:rsid w:val="001D05C2"/>
    <w:rsid w:val="0027129C"/>
    <w:rsid w:val="002B03A2"/>
    <w:rsid w:val="00350008"/>
    <w:rsid w:val="0037228A"/>
    <w:rsid w:val="003E50A9"/>
    <w:rsid w:val="00437BC9"/>
    <w:rsid w:val="00695EC7"/>
    <w:rsid w:val="006B5300"/>
    <w:rsid w:val="00731245"/>
    <w:rsid w:val="00782C9F"/>
    <w:rsid w:val="007F1B89"/>
    <w:rsid w:val="0082349B"/>
    <w:rsid w:val="00833404"/>
    <w:rsid w:val="008A4157"/>
    <w:rsid w:val="00900302"/>
    <w:rsid w:val="009134B3"/>
    <w:rsid w:val="009445B7"/>
    <w:rsid w:val="009C2328"/>
    <w:rsid w:val="009C6CEF"/>
    <w:rsid w:val="009D152B"/>
    <w:rsid w:val="00A96901"/>
    <w:rsid w:val="00AD387B"/>
    <w:rsid w:val="00B07E5B"/>
    <w:rsid w:val="00B61544"/>
    <w:rsid w:val="00BD0107"/>
    <w:rsid w:val="00C22704"/>
    <w:rsid w:val="00C5697C"/>
    <w:rsid w:val="00D33660"/>
    <w:rsid w:val="00D63333"/>
    <w:rsid w:val="00DE3C57"/>
    <w:rsid w:val="00E02E20"/>
    <w:rsid w:val="00E75222"/>
    <w:rsid w:val="00FB35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65F2B"/>
  <w15:docId w15:val="{BA547A7C-7F74-4728-BA46-9DAE4675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1E6"/>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4701E6"/>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4701E6"/>
    <w:pPr>
      <w:keepNext/>
      <w:keepLines/>
      <w:spacing w:before="4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701E6"/>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4701E6"/>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4701E6"/>
    <w:rPr>
      <w:rFonts w:asciiTheme="majorHAnsi" w:eastAsiaTheme="majorEastAsia" w:hAnsiTheme="majorHAnsi" w:cstheme="majorBidi"/>
      <w:color w:val="0A2F40" w:themeColor="accent1" w:themeShade="7F"/>
    </w:rPr>
  </w:style>
  <w:style w:type="character" w:customStyle="1" w:styleId="apple-converted-space">
    <w:name w:val="apple-converted-space"/>
    <w:basedOn w:val="DefaultParagraphFont"/>
    <w:rsid w:val="00D47CAF"/>
  </w:style>
  <w:style w:type="paragraph" w:styleId="PlainText">
    <w:name w:val="Plain Text"/>
    <w:basedOn w:val="Normal"/>
    <w:link w:val="PlainTextChar"/>
    <w:uiPriority w:val="99"/>
    <w:semiHidden/>
    <w:unhideWhenUsed/>
    <w:rsid w:val="004478FD"/>
    <w:pPr>
      <w:spacing w:before="100" w:beforeAutospacing="1" w:after="100" w:afterAutospacing="1"/>
    </w:pPr>
    <w:rPr>
      <w:rFonts w:ascii="Times New Roman" w:eastAsia="Times New Roman" w:hAnsi="Times New Roman" w:cs="Times New Roman"/>
      <w:lang w:eastAsia="en-GB"/>
    </w:rPr>
  </w:style>
  <w:style w:type="character" w:customStyle="1" w:styleId="PlainTextChar">
    <w:name w:val="Plain Text Char"/>
    <w:basedOn w:val="DefaultParagraphFont"/>
    <w:link w:val="PlainText"/>
    <w:uiPriority w:val="99"/>
    <w:semiHidden/>
    <w:rsid w:val="004478FD"/>
    <w:rPr>
      <w:rFonts w:ascii="Times New Roman" w:eastAsia="Times New Roman" w:hAnsi="Times New Roman" w:cs="Times New Roman"/>
      <w:kern w:val="0"/>
      <w:lang w:eastAsia="en-GB"/>
    </w:rPr>
  </w:style>
  <w:style w:type="character" w:styleId="CommentReference">
    <w:name w:val="annotation reference"/>
    <w:basedOn w:val="DefaultParagraphFont"/>
    <w:uiPriority w:val="99"/>
    <w:semiHidden/>
    <w:unhideWhenUsed/>
    <w:rsid w:val="00384AD7"/>
    <w:rPr>
      <w:sz w:val="16"/>
      <w:szCs w:val="16"/>
    </w:rPr>
  </w:style>
  <w:style w:type="paragraph" w:styleId="CommentText">
    <w:name w:val="annotation text"/>
    <w:basedOn w:val="Normal"/>
    <w:link w:val="CommentTextChar"/>
    <w:uiPriority w:val="99"/>
    <w:unhideWhenUsed/>
    <w:rsid w:val="00384AD7"/>
    <w:rPr>
      <w:sz w:val="20"/>
      <w:szCs w:val="20"/>
    </w:rPr>
  </w:style>
  <w:style w:type="character" w:customStyle="1" w:styleId="CommentTextChar">
    <w:name w:val="Comment Text Char"/>
    <w:basedOn w:val="DefaultParagraphFont"/>
    <w:link w:val="CommentText"/>
    <w:uiPriority w:val="99"/>
    <w:rsid w:val="00384AD7"/>
    <w:rPr>
      <w:sz w:val="20"/>
      <w:szCs w:val="20"/>
    </w:rPr>
  </w:style>
  <w:style w:type="paragraph" w:styleId="CommentSubject">
    <w:name w:val="annotation subject"/>
    <w:basedOn w:val="CommentText"/>
    <w:next w:val="CommentText"/>
    <w:link w:val="CommentSubjectChar"/>
    <w:uiPriority w:val="99"/>
    <w:semiHidden/>
    <w:unhideWhenUsed/>
    <w:rsid w:val="00384AD7"/>
    <w:rPr>
      <w:b/>
      <w:bCs/>
    </w:rPr>
  </w:style>
  <w:style w:type="character" w:customStyle="1" w:styleId="CommentSubjectChar">
    <w:name w:val="Comment Subject Char"/>
    <w:basedOn w:val="CommentTextChar"/>
    <w:link w:val="CommentSubject"/>
    <w:uiPriority w:val="99"/>
    <w:semiHidden/>
    <w:rsid w:val="00384AD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445B7"/>
    <w:pPr>
      <w:ind w:left="720"/>
      <w:contextualSpacing/>
    </w:pPr>
  </w:style>
  <w:style w:type="paragraph" w:styleId="Revision">
    <w:name w:val="Revision"/>
    <w:hidden/>
    <w:uiPriority w:val="99"/>
    <w:semiHidden/>
    <w:rsid w:val="00AD387B"/>
  </w:style>
  <w:style w:type="character" w:styleId="Hyperlink">
    <w:name w:val="Hyperlink"/>
    <w:basedOn w:val="DefaultParagraphFont"/>
    <w:uiPriority w:val="99"/>
    <w:unhideWhenUsed/>
    <w:rsid w:val="00E02E20"/>
    <w:rPr>
      <w:color w:val="467886" w:themeColor="hyperlink"/>
      <w:u w:val="single"/>
    </w:rPr>
  </w:style>
  <w:style w:type="character" w:styleId="UnresolvedMention">
    <w:name w:val="Unresolved Mention"/>
    <w:basedOn w:val="DefaultParagraphFont"/>
    <w:uiPriority w:val="99"/>
    <w:semiHidden/>
    <w:unhideWhenUsed/>
    <w:rsid w:val="00E02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513204">
      <w:bodyDiv w:val="1"/>
      <w:marLeft w:val="0"/>
      <w:marRight w:val="0"/>
      <w:marTop w:val="0"/>
      <w:marBottom w:val="0"/>
      <w:divBdr>
        <w:top w:val="none" w:sz="0" w:space="0" w:color="auto"/>
        <w:left w:val="none" w:sz="0" w:space="0" w:color="auto"/>
        <w:bottom w:val="none" w:sz="0" w:space="0" w:color="auto"/>
        <w:right w:val="none" w:sz="0" w:space="0" w:color="auto"/>
      </w:divBdr>
    </w:div>
    <w:div w:id="1472406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wOxy4iIXubno+R5GMeWxr1IRgA==">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CD621-606A-4336-9641-0D2419666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DD093E-618A-48C4-8B29-2E86E485E985}">
  <ds:schemaRefs>
    <ds:schemaRef ds:uri="http://purl.org/dc/dcmitype/"/>
    <ds:schemaRef ds:uri="cab52c9b-ab33-4221-8af9-54f8f2b86a80"/>
    <ds:schemaRef ds:uri="http://schemas.openxmlformats.org/package/2006/metadata/core-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9c8a2b7b-0bee-4c48-b0a6-23db8982d3bc"/>
    <ds:schemaRef ds:uri="6911e96c-4cc4-42d5-8e43-f93924cf6a05"/>
    <ds:schemaRef ds:uri="http://schemas.microsoft.com/office/2006/metadata/properties"/>
  </ds:schemaRefs>
</ds:datastoreItem>
</file>

<file path=customXml/itemProps4.xml><?xml version="1.0" encoding="utf-8"?>
<ds:datastoreItem xmlns:ds="http://schemas.openxmlformats.org/officeDocument/2006/customXml" ds:itemID="{89394732-A1B4-4EEC-AD30-CFFA1369E5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AF2025 Abstract</dc:title>
  <dc:creator>Shane Orchard</dc:creator>
  <cp:lastModifiedBy>Bethany Yee</cp:lastModifiedBy>
  <cp:revision>6</cp:revision>
  <dcterms:created xsi:type="dcterms:W3CDTF">2025-03-02T00:49:00Z</dcterms:created>
  <dcterms:modified xsi:type="dcterms:W3CDTF">2025-08-12T21:55:00Z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