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4AA6C678" w14:textId="77777777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  <w:p w14:paraId="5A4DE24F" w14:textId="7F13B92E" w:rsidR="006E56B7" w:rsidRPr="006E56B7" w:rsidRDefault="006E56B7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E56B7">
              <w:rPr>
                <w:rFonts w:ascii="Arial" w:hAnsi="Arial" w:cs="Arial"/>
                <w:sz w:val="22"/>
                <w:szCs w:val="22"/>
                <w:lang w:val="en-US"/>
              </w:rPr>
              <w:t>How to effectively promote health literacy in childhood and youth – results of a systematic literature review.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7777777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3F6495E2" w14:textId="008D9F6B" w:rsidR="006E56B7" w:rsidRPr="00025E76" w:rsidRDefault="006E56B7" w:rsidP="006E56B7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 w:rsidRPr="00FA34A0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Health literacy </w:t>
            </w: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(HL) </w:t>
            </w:r>
            <w:r w:rsidRPr="00FA34A0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follows a social gradient and is considered a modifiable risk factor for socioeconomic disparities in health. Promoting </w:t>
            </w: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HL </w:t>
            </w:r>
            <w:r w:rsidRPr="00FA34A0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during childhood and youth is argued to be beneficial for health during adulthood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and for reducing health disparities. However, there</w:t>
            </w:r>
            <w:r w:rsidRPr="004F454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is limited knowledge and academic consensus regarding the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effective strategies for promoting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HL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in these age groups. </w:t>
            </w:r>
            <w:r w:rsidRPr="004F454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Hence, this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research</w:t>
            </w:r>
            <w:r w:rsidRPr="004F4546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aims</w:t>
            </w:r>
            <w:r w:rsidRPr="004F4546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systematically </w:t>
            </w:r>
            <w:r w:rsidRPr="004F4546">
              <w:rPr>
                <w:rFonts w:asciiTheme="minorHAnsi" w:hAnsiTheme="minorHAnsi"/>
                <w:sz w:val="22"/>
                <w:szCs w:val="22"/>
              </w:rPr>
              <w:t xml:space="preserve">scope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analyze </w:t>
            </w:r>
            <w:r w:rsidRPr="004F4546">
              <w:rPr>
                <w:rFonts w:asciiTheme="minorHAnsi" w:hAnsiTheme="minorHAnsi"/>
                <w:sz w:val="22"/>
                <w:szCs w:val="22"/>
              </w:rPr>
              <w:t xml:space="preserve">existing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interventions and programs targeting child/youth </w:t>
            </w:r>
            <w:r>
              <w:rPr>
                <w:rFonts w:asciiTheme="minorHAnsi" w:hAnsiTheme="minorHAnsi"/>
                <w:sz w:val="22"/>
                <w:szCs w:val="22"/>
              </w:rPr>
              <w:t>HL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2E087460" w14:textId="553017E7" w:rsidR="006E56B7" w:rsidRDefault="006E56B7" w:rsidP="006E56B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4F4546">
              <w:rPr>
                <w:rFonts w:asciiTheme="minorHAnsi" w:hAnsiTheme="minorHAnsi" w:cs="Arial"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systematic</w:t>
            </w:r>
            <w:r w:rsidRPr="004F454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literature review was conducted</w:t>
            </w:r>
            <w:r w:rsidRPr="004F454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using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six bibliographic databases, grey literature and hand searches, </w:t>
            </w:r>
            <w:r w:rsidRPr="004F4546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following the PRISMA guidelines.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Different combinations of search terms referring to (a)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HL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, (b) intervention and (c) the target group were applied with Boolean operators. Intervention were included if addressing a target group aged between 5-18 years and if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HL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was a direct outcome variable</w:t>
            </w:r>
            <w:r w:rsidRPr="000613E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or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if interventions targeted core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HL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attributes/components</w:t>
            </w:r>
            <w:r w:rsidRPr="000613E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. </w:t>
            </w: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685F7626" w14:textId="282ECA3D" w:rsidR="006E56B7" w:rsidRPr="000613E9" w:rsidRDefault="006E56B7" w:rsidP="006E56B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Preliminary results reveal</w:t>
            </w:r>
            <w:r w:rsidRPr="000613E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that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HL</w:t>
            </w:r>
            <w:r w:rsidRPr="000613E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is commonly promoted by targeting </w:t>
            </w:r>
            <w:r w:rsidRPr="000613E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(a)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specific abilities, (b) h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ealth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or disease prevention topics, (c) a specific </w:t>
            </w:r>
            <w:r w:rsidRPr="000613E9">
              <w:rPr>
                <w:rFonts w:asciiTheme="minorHAnsi" w:hAnsiTheme="minorHAnsi" w:cs="Arial"/>
                <w:bCs/>
                <w:sz w:val="22"/>
                <w:szCs w:val="22"/>
              </w:rPr>
              <w:t>settings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(e.g. school). The majority of identified</w:t>
            </w:r>
            <w:r w:rsidRPr="00241E6D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HL</w:t>
            </w:r>
            <w:r w:rsidRPr="00241E6D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interventions focus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es</w:t>
            </w:r>
            <w:r w:rsidRPr="00241E6D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on fostering individual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’</w:t>
            </w:r>
            <w:r w:rsidRPr="00241E6D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skills</w:t>
            </w:r>
            <w:r w:rsidRPr="00241E6D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through health education and counselling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. Some were context-focused interventions targeting the </w:t>
            </w:r>
            <w:r w:rsidRPr="00241E6D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reduc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tion of</w:t>
            </w:r>
            <w:r w:rsidRPr="00241E6D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difficulty and complexity of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provided</w:t>
            </w:r>
            <w:r w:rsidRPr="00241E6D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health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-related</w:t>
            </w:r>
            <w:r w:rsidRPr="00241E6D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information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.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Only few</w:t>
            </w:r>
            <w:r w:rsidRPr="000613E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complex or multi-level interventions targeting the interactive or critical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aspects</w:t>
            </w:r>
            <w:r w:rsidRPr="000613E9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of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HL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where identified.  </w:t>
            </w: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2B786F61" w14:textId="73607BF5" w:rsidR="006E56B7" w:rsidRPr="00FA34A0" w:rsidRDefault="006E56B7" w:rsidP="006E56B7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Most interventions focus on</w:t>
            </w:r>
            <w:r w:rsidRPr="00FA34A0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promoting individual abilities</w:t>
            </w: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, while t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here is a lack of interventions that consider the</w:t>
            </w:r>
            <w:r w:rsidRPr="000613E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interrelated contextual pathways between the individual child, their families and other social settings.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This </w:t>
            </w:r>
            <w:r w:rsidRPr="00FA34A0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conflicts with best practice recommendations for health promotion that call for </w:t>
            </w: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multi-level interventions targeting different </w:t>
            </w:r>
            <w:r w:rsidRPr="00FA34A0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social ecological levels beyond the individual.</w:t>
            </w: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 </w:t>
            </w:r>
            <w:r w:rsidRPr="00FA34A0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M</w:t>
            </w:r>
            <w:proofErr w:type="spellStart"/>
            <w:r w:rsidRPr="00FA34A0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ajor</w:t>
            </w:r>
            <w:proofErr w:type="spellEnd"/>
            <w:r w:rsidRPr="00FA34A0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challenges for comparability are the variations in conceptual understandings that the analysed interventions ground on as well as in the </w:t>
            </w: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HL</w:t>
            </w:r>
            <w:r w:rsidRPr="00FA34A0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assessment tools that were operationalized as output measures. The results will provide the evidence base for a future research project that will develop a toolbox with best practices interventions for the promotion of </w:t>
            </w: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>HL</w:t>
            </w:r>
            <w:bookmarkStart w:id="0" w:name="_GoBack"/>
            <w:bookmarkEnd w:id="0"/>
            <w:r w:rsidRPr="00FA34A0">
              <w:rPr>
                <w:rFonts w:asciiTheme="minorHAnsi" w:hAnsiTheme="minorHAnsi" w:cs="Arial"/>
                <w:bCs/>
                <w:color w:val="auto"/>
                <w:sz w:val="22"/>
                <w:szCs w:val="22"/>
                <w:lang w:val="en-GB"/>
              </w:rPr>
              <w:t xml:space="preserve"> during childhood and youth.</w:t>
            </w: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4407E419" w14:textId="77777777" w:rsidR="006E56B7" w:rsidRPr="004B5A1A" w:rsidRDefault="006E56B7" w:rsidP="006E56B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health literacy, childhood, youth, intervention, literature review</w:t>
            </w: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C6E32"/>
    <w:rsid w:val="006E56B7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5CE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Textkrper-Zeileneinzug">
    <w:name w:val="Body Text Indent"/>
    <w:basedOn w:val="Standard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ellenraster">
    <w:name w:val="Table Grid"/>
    <w:basedOn w:val="NormaleTabelle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Standard"/>
    <w:next w:val="Standard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Standard"/>
    <w:next w:val="Standard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el">
    <w:name w:val="Title"/>
    <w:basedOn w:val="Standard"/>
    <w:next w:val="Standard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StandardWeb">
    <w:name w:val="Normal (Web)"/>
    <w:basedOn w:val="Standard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customStyle="1" w:styleId="Default">
    <w:name w:val="Default"/>
    <w:rsid w:val="006E56B7"/>
    <w:pPr>
      <w:autoSpaceDE w:val="0"/>
      <w:autoSpaceDN w:val="0"/>
      <w:adjustRightInd w:val="0"/>
    </w:pPr>
    <w:rPr>
      <w:rFonts w:ascii="Calibri" w:eastAsia="Droid Sans Fallback" w:hAnsi="Calibri" w:cs="Calibri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Bröder Janine</cp:lastModifiedBy>
  <cp:revision>2</cp:revision>
  <dcterms:created xsi:type="dcterms:W3CDTF">2018-09-12T12:04:00Z</dcterms:created>
  <dcterms:modified xsi:type="dcterms:W3CDTF">2018-09-12T12:04:00Z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