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03525D" w14:paraId="5A4DE250" w14:textId="77777777">
        <w:tc>
          <w:tcPr>
            <w:tcW w:w="8640" w:type="dxa"/>
          </w:tcPr>
          <w:p w14:paraId="4AA6C678" w14:textId="77777777" w:rsidR="002B7FC8" w:rsidRDefault="00F16B61" w:rsidP="00E36AD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Title</w:t>
            </w:r>
            <w:r w:rsidR="003A6236">
              <w:rPr>
                <w:rFonts w:ascii="Arial" w:hAnsi="Arial" w:cs="Arial"/>
                <w:b/>
                <w:sz w:val="22"/>
                <w:szCs w:val="22"/>
              </w:rPr>
              <w:t xml:space="preserve"> of </w:t>
            </w:r>
            <w:r w:rsidR="004B7D91">
              <w:rPr>
                <w:rFonts w:ascii="Arial" w:hAnsi="Arial" w:cs="Arial"/>
                <w:b/>
                <w:sz w:val="22"/>
                <w:szCs w:val="22"/>
              </w:rPr>
              <w:t>Research Presentation</w:t>
            </w:r>
            <w:r w:rsidR="00E36AD7" w:rsidRPr="00E36A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242808">
              <w:rPr>
                <w:rFonts w:ascii="Arial" w:hAnsi="Arial" w:cs="Arial"/>
                <w:sz w:val="22"/>
                <w:szCs w:val="22"/>
              </w:rPr>
              <w:t>(Sentence case)</w:t>
            </w:r>
          </w:p>
          <w:p w14:paraId="5A4DE24F" w14:textId="7F13B92E" w:rsidR="006E56B7" w:rsidRPr="006E56B7" w:rsidRDefault="006E56B7" w:rsidP="00E36AD7">
            <w:pPr>
              <w:jc w:val="both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6E56B7">
              <w:rPr>
                <w:rFonts w:ascii="Arial" w:hAnsi="Arial" w:cs="Arial"/>
                <w:sz w:val="22"/>
                <w:szCs w:val="22"/>
                <w:lang w:val="en-US"/>
              </w:rPr>
              <w:t>How to effectively promote health literacy in childhood and youth – results of a systematic literature review.</w:t>
            </w:r>
          </w:p>
        </w:tc>
      </w:tr>
      <w:tr w:rsidR="002B7FC8" w:rsidRPr="0003525D" w14:paraId="5A4DE264" w14:textId="77777777" w:rsidTr="00D71EFE">
        <w:trPr>
          <w:trHeight w:val="7663"/>
        </w:trPr>
        <w:tc>
          <w:tcPr>
            <w:tcW w:w="8640" w:type="dxa"/>
          </w:tcPr>
          <w:p w14:paraId="4B8CEF8B" w14:textId="77777777" w:rsidR="008C05C1" w:rsidRDefault="008C05C1" w:rsidP="008C05C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Maximum 2500 characters (including spaces but excluding title)</w:t>
            </w:r>
          </w:p>
          <w:p w14:paraId="5A4DE252" w14:textId="7777777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53" w14:textId="5DA48E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14:paraId="3F6495E2" w14:textId="008D9F6B" w:rsidR="006E56B7" w:rsidRPr="00025E76" w:rsidRDefault="006E56B7" w:rsidP="006E56B7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</w:pPr>
            <w:r w:rsidRPr="00FA34A0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Health literacy </w:t>
            </w:r>
            <w:r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(HL) </w:t>
            </w:r>
            <w:r w:rsidRPr="00FA34A0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follows a social gradient and is considered a modifiable risk factor for socioeconomic disparities in health. Promoting </w:t>
            </w:r>
            <w:r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HL </w:t>
            </w:r>
            <w:r w:rsidRPr="00FA34A0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en-GB"/>
              </w:rPr>
              <w:t xml:space="preserve">during childhood and youth is argued to be beneficial for health during adulthood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and for reducing health disparities. However, there</w:t>
            </w:r>
            <w:r w:rsidRPr="004F4546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is limited knowledge and academic consensus regarding the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effective strategies for promoting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HL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in these age groups. </w:t>
            </w:r>
            <w:r w:rsidRPr="004F4546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Hence, this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>research</w:t>
            </w:r>
            <w:r w:rsidRPr="004F4546">
              <w:rPr>
                <w:rFonts w:asciiTheme="minorHAnsi" w:hAnsiTheme="minorHAnsi" w:cs="Arial"/>
                <w:bCs/>
                <w:sz w:val="22"/>
                <w:szCs w:val="22"/>
                <w:lang w:val="en-GB"/>
              </w:rPr>
              <w:t xml:space="preserve"> aims</w:t>
            </w:r>
            <w:r w:rsidRPr="004F4546">
              <w:rPr>
                <w:rFonts w:asciiTheme="minorHAnsi" w:hAnsiTheme="minorHAnsi"/>
                <w:sz w:val="22"/>
                <w:szCs w:val="22"/>
              </w:rPr>
              <w:t xml:space="preserve"> to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systematically </w:t>
            </w:r>
            <w:r w:rsidRPr="004F4546">
              <w:rPr>
                <w:rFonts w:asciiTheme="minorHAnsi" w:hAnsiTheme="minorHAnsi"/>
                <w:sz w:val="22"/>
                <w:szCs w:val="22"/>
              </w:rPr>
              <w:t xml:space="preserve">scope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and analyze </w:t>
            </w:r>
            <w:r w:rsidRPr="004F4546">
              <w:rPr>
                <w:rFonts w:asciiTheme="minorHAnsi" w:hAnsiTheme="minorHAnsi"/>
                <w:sz w:val="22"/>
                <w:szCs w:val="22"/>
              </w:rPr>
              <w:t xml:space="preserve">existing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interventions and programs targeting child/youth </w:t>
            </w:r>
            <w:r>
              <w:rPr>
                <w:rFonts w:asciiTheme="minorHAnsi" w:hAnsiTheme="minorHAnsi"/>
                <w:sz w:val="22"/>
                <w:szCs w:val="22"/>
              </w:rPr>
              <w:t>HL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5A4DE258" w14:textId="5C68803A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14:paraId="2E087460" w14:textId="553017E7" w:rsidR="006E56B7" w:rsidRDefault="006E56B7" w:rsidP="006E56B7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 w:rsidRPr="004F4546">
              <w:rPr>
                <w:rFonts w:asciiTheme="minorHAnsi" w:hAnsiTheme="minorHAnsi" w:cs="Arial"/>
                <w:bCs/>
                <w:sz w:val="22"/>
                <w:szCs w:val="22"/>
              </w:rPr>
              <w:t>A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systematic</w:t>
            </w:r>
            <w:r w:rsidRPr="004F4546">
              <w:rPr>
                <w:rFonts w:asciiTheme="minorHAnsi" w:hAnsiTheme="minorHAnsi" w:cs="Arial"/>
                <w:bCs/>
                <w:sz w:val="22"/>
                <w:szCs w:val="22"/>
              </w:rPr>
              <w:t xml:space="preserve"> literature review was conducted</w:t>
            </w:r>
            <w:r w:rsidRPr="004F4546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using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six bibliographic databases, grey literature and hand searches, </w:t>
            </w:r>
            <w:r w:rsidRPr="004F4546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following the PRISMA guidelines.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Different combinations of search terms referring to (a)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HL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, (b) intervention and (c) the target group were applied with Boolean operators. Intervention were included if addressing a target group aged between 5-18 years and if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HL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was a direct outcome variable</w:t>
            </w:r>
            <w:r w:rsidRPr="000613E9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or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if interventions targeted core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HL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attributes/components</w:t>
            </w:r>
            <w:r w:rsidRPr="000613E9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. </w:t>
            </w:r>
          </w:p>
          <w:p w14:paraId="5A4DE25D" w14:textId="6252EBE7" w:rsidR="00DA7A7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14:paraId="685F7626" w14:textId="282ECA3D" w:rsidR="006E56B7" w:rsidRPr="000613E9" w:rsidRDefault="006E56B7" w:rsidP="006E56B7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Preliminary results reveal</w:t>
            </w:r>
            <w:r w:rsidRPr="000613E9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that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HL</w:t>
            </w:r>
            <w:r w:rsidRPr="000613E9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is commonly promoted by targeting </w:t>
            </w:r>
            <w:r w:rsidRPr="000613E9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(a)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specific abilities, (b) h</w:t>
            </w:r>
            <w:proofErr w:type="spellStart"/>
            <w:r>
              <w:rPr>
                <w:rFonts w:asciiTheme="minorHAnsi" w:hAnsiTheme="minorHAnsi" w:cs="Arial"/>
                <w:bCs/>
                <w:sz w:val="22"/>
                <w:szCs w:val="22"/>
              </w:rPr>
              <w:t>ealth</w:t>
            </w:r>
            <w:proofErr w:type="spellEnd"/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or disease prevention topics, (c) a specific </w:t>
            </w:r>
            <w:r w:rsidRPr="000613E9">
              <w:rPr>
                <w:rFonts w:asciiTheme="minorHAnsi" w:hAnsiTheme="minorHAnsi" w:cs="Arial"/>
                <w:bCs/>
                <w:sz w:val="22"/>
                <w:szCs w:val="22"/>
              </w:rPr>
              <w:t>settings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(e.g. school). The majority of identified</w:t>
            </w:r>
            <w:r w:rsidRPr="00241E6D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HL</w:t>
            </w:r>
            <w:r w:rsidRPr="00241E6D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interventions focus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es</w:t>
            </w:r>
            <w:r w:rsidRPr="00241E6D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on fostering individual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’</w:t>
            </w:r>
            <w:r w:rsidRPr="00241E6D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s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skills</w:t>
            </w:r>
            <w:r w:rsidRPr="00241E6D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through health education and counselling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. Some were context-focused interventions targeting the </w:t>
            </w:r>
            <w:r w:rsidRPr="00241E6D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reduc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tion of</w:t>
            </w:r>
            <w:r w:rsidRPr="00241E6D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difficulty and complexity of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provided</w:t>
            </w:r>
            <w:r w:rsidRPr="00241E6D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health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-related</w:t>
            </w:r>
            <w:r w:rsidRPr="00241E6D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information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. 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Only few</w:t>
            </w:r>
            <w:r w:rsidRPr="000613E9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complex or multi-level interventions targeting the interactive or critical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aspects</w:t>
            </w:r>
            <w:r w:rsidRPr="000613E9"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of 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HL</w:t>
            </w: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 xml:space="preserve"> where identified.  </w:t>
            </w:r>
          </w:p>
          <w:p w14:paraId="3AD6967B" w14:textId="4AB72C40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14:paraId="2B786F61" w14:textId="73607BF5" w:rsidR="006E56B7" w:rsidRPr="00FA34A0" w:rsidRDefault="006E56B7" w:rsidP="006E56B7">
            <w:pPr>
              <w:pStyle w:val="Default"/>
              <w:spacing w:line="276" w:lineRule="auto"/>
              <w:jc w:val="both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>Most interventions focus on</w:t>
            </w:r>
            <w:r w:rsidRPr="00FA34A0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 promoting individual abilities</w:t>
            </w:r>
            <w:r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>, while t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here is a lack of interventions that consider the</w:t>
            </w:r>
            <w:r w:rsidRPr="000613E9">
              <w:rPr>
                <w:rFonts w:asciiTheme="minorHAnsi" w:hAnsiTheme="minorHAnsi" w:cs="Arial"/>
                <w:bCs/>
                <w:sz w:val="22"/>
                <w:szCs w:val="22"/>
              </w:rPr>
              <w:t xml:space="preserve"> interrelated contextual pathways between the individual child, their families and other social settings.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This </w:t>
            </w:r>
            <w:r w:rsidRPr="00FA34A0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conflicts with best practice recommendations for health promotion that call for </w:t>
            </w:r>
            <w:r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multi-level interventions targeting different </w:t>
            </w:r>
            <w:r w:rsidRPr="00FA34A0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>social ecological levels beyond the individual.</w:t>
            </w:r>
            <w:r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 xml:space="preserve"> </w:t>
            </w:r>
            <w:r w:rsidRPr="00FA34A0">
              <w:rPr>
                <w:rFonts w:asciiTheme="minorHAnsi" w:hAnsiTheme="minorHAnsi" w:cs="Arial"/>
                <w:bCs/>
                <w:color w:val="auto"/>
                <w:sz w:val="22"/>
                <w:szCs w:val="22"/>
              </w:rPr>
              <w:t>M</w:t>
            </w:r>
            <w:proofErr w:type="spellStart"/>
            <w:r w:rsidRPr="00FA34A0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en-GB"/>
              </w:rPr>
              <w:t>ajor</w:t>
            </w:r>
            <w:proofErr w:type="spellEnd"/>
            <w:r w:rsidRPr="00FA34A0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en-GB"/>
              </w:rPr>
              <w:t xml:space="preserve"> challenges for comparability are the variations in conceptual understandings that the analysed interventions ground on as well as in the </w:t>
            </w:r>
            <w:r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en-GB"/>
              </w:rPr>
              <w:t>HL</w:t>
            </w:r>
            <w:r w:rsidRPr="00FA34A0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en-GB"/>
              </w:rPr>
              <w:t xml:space="preserve"> assessment tools that were operationalized as output measures. The results will provide the evidence base for a future research project that will develop a toolbox with best practices interventions for the promotion of </w:t>
            </w:r>
            <w:r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en-GB"/>
              </w:rPr>
              <w:t>HL</w:t>
            </w:r>
            <w:bookmarkStart w:id="0" w:name="_GoBack"/>
            <w:bookmarkEnd w:id="0"/>
            <w:r w:rsidRPr="00FA34A0">
              <w:rPr>
                <w:rFonts w:asciiTheme="minorHAnsi" w:hAnsiTheme="minorHAnsi" w:cs="Arial"/>
                <w:bCs/>
                <w:color w:val="auto"/>
                <w:sz w:val="22"/>
                <w:szCs w:val="22"/>
                <w:lang w:val="en-GB"/>
              </w:rPr>
              <w:t xml:space="preserve"> during childhood and youth.</w:t>
            </w:r>
          </w:p>
          <w:p w14:paraId="3CDEB4A9" w14:textId="5B83C8DE" w:rsidR="004B7D91" w:rsidRDefault="004B7D9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14:paraId="4407E419" w14:textId="77777777" w:rsidR="006E56B7" w:rsidRPr="004B5A1A" w:rsidRDefault="006E56B7" w:rsidP="006E56B7">
            <w:pPr>
              <w:spacing w:line="276" w:lineRule="auto"/>
              <w:jc w:val="both"/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  <w:lang w:val="en-US"/>
              </w:rPr>
              <w:t>health literacy, childhood, youth, intervention, literature review</w:t>
            </w:r>
          </w:p>
          <w:p w14:paraId="5A4DE262" w14:textId="76239C87"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A4DE263" w14:textId="3A181901"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5A4DE265" w14:textId="4C2C1C75"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26E39"/>
    <w:rsid w:val="0003525D"/>
    <w:rsid w:val="00077988"/>
    <w:rsid w:val="0008349E"/>
    <w:rsid w:val="000C05CE"/>
    <w:rsid w:val="00131D1E"/>
    <w:rsid w:val="001C3A37"/>
    <w:rsid w:val="00211765"/>
    <w:rsid w:val="00230B21"/>
    <w:rsid w:val="00234EAA"/>
    <w:rsid w:val="00242808"/>
    <w:rsid w:val="00294265"/>
    <w:rsid w:val="002B7FC8"/>
    <w:rsid w:val="002F34DB"/>
    <w:rsid w:val="00317FFE"/>
    <w:rsid w:val="00363AF7"/>
    <w:rsid w:val="003A6236"/>
    <w:rsid w:val="003B15A7"/>
    <w:rsid w:val="003F596D"/>
    <w:rsid w:val="00490208"/>
    <w:rsid w:val="004B5B95"/>
    <w:rsid w:val="004B7D91"/>
    <w:rsid w:val="004C45A1"/>
    <w:rsid w:val="004E345D"/>
    <w:rsid w:val="00564331"/>
    <w:rsid w:val="00590824"/>
    <w:rsid w:val="005F7DC7"/>
    <w:rsid w:val="006605DB"/>
    <w:rsid w:val="00663BFF"/>
    <w:rsid w:val="006C6E32"/>
    <w:rsid w:val="006E56B7"/>
    <w:rsid w:val="0070252B"/>
    <w:rsid w:val="00714C46"/>
    <w:rsid w:val="007A2A9C"/>
    <w:rsid w:val="007E61BA"/>
    <w:rsid w:val="0082392D"/>
    <w:rsid w:val="008874BF"/>
    <w:rsid w:val="008C05AC"/>
    <w:rsid w:val="008C05C1"/>
    <w:rsid w:val="00932377"/>
    <w:rsid w:val="009579B1"/>
    <w:rsid w:val="009B7881"/>
    <w:rsid w:val="00A112C8"/>
    <w:rsid w:val="00A1780F"/>
    <w:rsid w:val="00AA1598"/>
    <w:rsid w:val="00AA5B46"/>
    <w:rsid w:val="00AB42C9"/>
    <w:rsid w:val="00B12CD1"/>
    <w:rsid w:val="00B20967"/>
    <w:rsid w:val="00B766BF"/>
    <w:rsid w:val="00BC5CBE"/>
    <w:rsid w:val="00C211D2"/>
    <w:rsid w:val="00C73E89"/>
    <w:rsid w:val="00C84789"/>
    <w:rsid w:val="00C978A6"/>
    <w:rsid w:val="00CA0DE6"/>
    <w:rsid w:val="00CB2597"/>
    <w:rsid w:val="00CC5CF2"/>
    <w:rsid w:val="00CD0335"/>
    <w:rsid w:val="00CE496D"/>
    <w:rsid w:val="00CE5D57"/>
    <w:rsid w:val="00D71EFE"/>
    <w:rsid w:val="00DA45EE"/>
    <w:rsid w:val="00DA7A71"/>
    <w:rsid w:val="00DC2C64"/>
    <w:rsid w:val="00DE6D44"/>
    <w:rsid w:val="00E0479B"/>
    <w:rsid w:val="00E36AD7"/>
    <w:rsid w:val="00E379B4"/>
    <w:rsid w:val="00E458B1"/>
    <w:rsid w:val="00F16B61"/>
    <w:rsid w:val="00F407AD"/>
    <w:rsid w:val="00F86A0C"/>
    <w:rsid w:val="00F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DE24F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C05CE"/>
    <w:rPr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Textkrper-Zeileneinzug">
    <w:name w:val="Body Text Indent"/>
    <w:basedOn w:val="Standard"/>
    <w:rsid w:val="000C05CE"/>
    <w:pPr>
      <w:spacing w:after="120"/>
      <w:ind w:left="283"/>
    </w:pPr>
    <w:rPr>
      <w:sz w:val="20"/>
      <w:szCs w:val="20"/>
      <w:lang w:val="en-US"/>
    </w:rPr>
  </w:style>
  <w:style w:type="table" w:styleId="Tabellenraster">
    <w:name w:val="Table Grid"/>
    <w:basedOn w:val="NormaleTabelle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Standard"/>
    <w:next w:val="Standard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Standard"/>
    <w:next w:val="Standard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Titel">
    <w:name w:val="Title"/>
    <w:basedOn w:val="Standard"/>
    <w:next w:val="Standard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StandardWeb">
    <w:name w:val="Normal (Web)"/>
    <w:basedOn w:val="Standard"/>
    <w:uiPriority w:val="99"/>
    <w:unhideWhenUsed/>
    <w:rsid w:val="00230B21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customStyle="1" w:styleId="Default">
    <w:name w:val="Default"/>
    <w:rsid w:val="006E56B7"/>
    <w:pPr>
      <w:autoSpaceDE w:val="0"/>
      <w:autoSpaceDN w:val="0"/>
      <w:adjustRightInd w:val="0"/>
    </w:pPr>
    <w:rPr>
      <w:rFonts w:ascii="Calibri" w:eastAsia="Droid Sans Fallback" w:hAnsi="Calibri" w:cs="Calibri"/>
      <w:color w:val="00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Bröder Janine</cp:lastModifiedBy>
  <cp:revision>2</cp:revision>
  <dcterms:created xsi:type="dcterms:W3CDTF">2018-09-12T12:04:00Z</dcterms:created>
  <dcterms:modified xsi:type="dcterms:W3CDTF">2018-09-12T12:04:00Z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