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A33C" w14:textId="0F567BB0" w:rsidR="003B1894" w:rsidRPr="00F6165B" w:rsidRDefault="00E81C4C" w:rsidP="00E81C4C">
      <w:pPr>
        <w:rPr>
          <w:rFonts w:asciiTheme="minorBidi" w:hAnsiTheme="minorBidi"/>
          <w:i/>
          <w:iCs/>
        </w:rPr>
      </w:pPr>
      <w:r w:rsidRPr="00F6165B">
        <w:rPr>
          <w:rFonts w:asciiTheme="minorBidi" w:hAnsiTheme="minorBidi"/>
          <w:b/>
          <w:bCs/>
        </w:rPr>
        <w:t xml:space="preserve">Title: </w:t>
      </w:r>
      <w:r w:rsidRPr="00F6165B">
        <w:rPr>
          <w:rFonts w:asciiTheme="minorBidi" w:hAnsiTheme="minorBidi"/>
          <w:i/>
          <w:iCs/>
        </w:rPr>
        <w:t xml:space="preserve">A retrospective analysis of </w:t>
      </w:r>
      <w:r w:rsidR="00180DCC">
        <w:rPr>
          <w:rFonts w:asciiTheme="minorBidi" w:hAnsiTheme="minorBidi"/>
          <w:i/>
          <w:iCs/>
        </w:rPr>
        <w:t>d</w:t>
      </w:r>
      <w:r w:rsidR="0086110E" w:rsidRPr="00F6165B">
        <w:rPr>
          <w:rFonts w:asciiTheme="minorBidi" w:hAnsiTheme="minorBidi"/>
          <w:i/>
          <w:iCs/>
        </w:rPr>
        <w:t xml:space="preserve">iabetic </w:t>
      </w:r>
      <w:r w:rsidR="00180DCC">
        <w:rPr>
          <w:rFonts w:asciiTheme="minorBidi" w:hAnsiTheme="minorBidi"/>
          <w:i/>
          <w:iCs/>
        </w:rPr>
        <w:t>k</w:t>
      </w:r>
      <w:r w:rsidR="0086110E" w:rsidRPr="00F6165B">
        <w:rPr>
          <w:rFonts w:asciiTheme="minorBidi" w:hAnsiTheme="minorBidi"/>
          <w:i/>
          <w:iCs/>
        </w:rPr>
        <w:t>etoacidosis</w:t>
      </w:r>
      <w:r w:rsidRPr="00F6165B">
        <w:rPr>
          <w:rFonts w:asciiTheme="minorBidi" w:hAnsiTheme="minorBidi"/>
          <w:i/>
          <w:iCs/>
        </w:rPr>
        <w:t xml:space="preserve"> at Westmead Hospital</w:t>
      </w:r>
      <w:r w:rsidR="00731840" w:rsidRPr="00F6165B">
        <w:rPr>
          <w:rFonts w:asciiTheme="minorBidi" w:hAnsiTheme="minorBidi"/>
          <w:i/>
          <w:iCs/>
        </w:rPr>
        <w:t>: predictors of DKA resolution, insulin requirements and intravenous fluid</w:t>
      </w:r>
      <w:r w:rsidR="00773EF7" w:rsidRPr="00F6165B">
        <w:rPr>
          <w:rFonts w:asciiTheme="minorBidi" w:hAnsiTheme="minorBidi"/>
          <w:i/>
          <w:iCs/>
        </w:rPr>
        <w:t xml:space="preserve"> management.</w:t>
      </w:r>
      <w:r w:rsidR="00731840" w:rsidRPr="00F6165B">
        <w:rPr>
          <w:rFonts w:asciiTheme="minorBidi" w:hAnsiTheme="minorBidi"/>
          <w:i/>
          <w:iCs/>
        </w:rPr>
        <w:t xml:space="preserve"> </w:t>
      </w:r>
    </w:p>
    <w:p w14:paraId="27D4F5FD" w14:textId="77777777" w:rsidR="00D370BD" w:rsidRPr="00F6165B" w:rsidRDefault="00D370BD" w:rsidP="003B1894">
      <w:pPr>
        <w:rPr>
          <w:rFonts w:asciiTheme="minorBidi" w:hAnsiTheme="minorBidi"/>
          <w:b/>
          <w:bCs/>
        </w:rPr>
      </w:pPr>
    </w:p>
    <w:p w14:paraId="139E2502" w14:textId="5241639A" w:rsidR="008E461E" w:rsidRPr="00F6165B" w:rsidRDefault="00607589" w:rsidP="00E81C4C">
      <w:pPr>
        <w:rPr>
          <w:rFonts w:asciiTheme="minorBidi" w:hAnsiTheme="minorBidi"/>
        </w:rPr>
      </w:pPr>
      <w:r>
        <w:rPr>
          <w:rFonts w:asciiTheme="minorBidi" w:hAnsiTheme="minorBidi"/>
        </w:rPr>
        <w:t>At ADC 2020</w:t>
      </w:r>
      <w:r w:rsidRPr="00F6165B">
        <w:rPr>
          <w:rFonts w:asciiTheme="minorBidi" w:hAnsiTheme="minorBidi"/>
          <w:vertAlign w:val="superscript"/>
        </w:rPr>
        <w:t>1</w:t>
      </w:r>
      <w:r>
        <w:rPr>
          <w:rFonts w:asciiTheme="minorBidi" w:hAnsiTheme="minorBidi"/>
        </w:rPr>
        <w:t>, we i</w:t>
      </w:r>
      <w:r w:rsidR="00B73838" w:rsidRPr="00F6165B">
        <w:rPr>
          <w:rFonts w:asciiTheme="minorBidi" w:hAnsiTheme="minorBidi"/>
        </w:rPr>
        <w:t xml:space="preserve">dentified </w:t>
      </w:r>
      <w:r w:rsidR="00335831" w:rsidRPr="00F6165B">
        <w:rPr>
          <w:rFonts w:asciiTheme="minorBidi" w:hAnsiTheme="minorBidi"/>
        </w:rPr>
        <w:t xml:space="preserve">increased risks of adverse outcomes with </w:t>
      </w:r>
      <w:r w:rsidR="00731840" w:rsidRPr="00F6165B">
        <w:rPr>
          <w:rFonts w:asciiTheme="minorBidi" w:hAnsiTheme="minorBidi"/>
        </w:rPr>
        <w:t xml:space="preserve">hyperosmolar </w:t>
      </w:r>
      <w:r w:rsidR="00B73838" w:rsidRPr="00F6165B">
        <w:rPr>
          <w:rFonts w:asciiTheme="minorBidi" w:hAnsiTheme="minorBidi"/>
        </w:rPr>
        <w:t xml:space="preserve">DKA </w:t>
      </w:r>
      <w:r w:rsidR="009159EC" w:rsidRPr="00F6165B">
        <w:rPr>
          <w:rFonts w:asciiTheme="minorBidi" w:hAnsiTheme="minorBidi"/>
        </w:rPr>
        <w:t>(H-DKA)</w:t>
      </w:r>
      <w:r w:rsidR="00B73838" w:rsidRPr="00F6165B">
        <w:rPr>
          <w:rFonts w:asciiTheme="minorBidi" w:hAnsiTheme="minorBidi"/>
        </w:rPr>
        <w:t xml:space="preserve"> </w:t>
      </w:r>
      <w:r w:rsidR="00A90C59" w:rsidRPr="00F6165B">
        <w:rPr>
          <w:rFonts w:asciiTheme="minorBidi" w:hAnsiTheme="minorBidi"/>
        </w:rPr>
        <w:t>(serum osmolality ≥ 320</w:t>
      </w:r>
      <w:r w:rsidR="00197B2E">
        <w:rPr>
          <w:rFonts w:asciiTheme="minorBidi" w:hAnsiTheme="minorBidi"/>
        </w:rPr>
        <w:t>)</w:t>
      </w:r>
      <w:r w:rsidR="00B73838" w:rsidRPr="00F6165B">
        <w:rPr>
          <w:rFonts w:asciiTheme="minorBidi" w:hAnsiTheme="minorBidi"/>
        </w:rPr>
        <w:t xml:space="preserve">. </w:t>
      </w:r>
    </w:p>
    <w:p w14:paraId="1353B759" w14:textId="3196E23D" w:rsidR="00E81C4C" w:rsidRPr="00F6165B" w:rsidRDefault="00335831" w:rsidP="00E81C4C">
      <w:pPr>
        <w:rPr>
          <w:rFonts w:asciiTheme="minorBidi" w:hAnsiTheme="minorBidi"/>
        </w:rPr>
      </w:pPr>
      <w:r w:rsidRPr="00F6165B">
        <w:rPr>
          <w:rFonts w:asciiTheme="minorBidi" w:hAnsiTheme="minorBidi"/>
          <w:b/>
          <w:bCs/>
        </w:rPr>
        <w:t xml:space="preserve">Aim: </w:t>
      </w:r>
      <w:r w:rsidRPr="00F6165B">
        <w:rPr>
          <w:rFonts w:asciiTheme="minorBidi" w:hAnsiTheme="minorBidi"/>
        </w:rPr>
        <w:t>To analyse this data</w:t>
      </w:r>
      <w:r w:rsidR="002F7956" w:rsidRPr="00F6165B">
        <w:rPr>
          <w:rFonts w:asciiTheme="minorBidi" w:hAnsiTheme="minorBidi"/>
        </w:rPr>
        <w:t xml:space="preserve"> </w:t>
      </w:r>
      <w:r w:rsidR="000F1211" w:rsidRPr="00F6165B">
        <w:rPr>
          <w:rFonts w:asciiTheme="minorBidi" w:hAnsiTheme="minorBidi"/>
        </w:rPr>
        <w:t xml:space="preserve">regarding </w:t>
      </w:r>
      <w:r w:rsidR="007C50A6" w:rsidRPr="00F6165B">
        <w:rPr>
          <w:rFonts w:asciiTheme="minorBidi" w:hAnsiTheme="minorBidi"/>
        </w:rPr>
        <w:t>patient outcomes</w:t>
      </w:r>
      <w:r w:rsidR="002F7956" w:rsidRPr="00F6165B">
        <w:rPr>
          <w:rFonts w:asciiTheme="minorBidi" w:hAnsiTheme="minorBidi"/>
        </w:rPr>
        <w:t>,</w:t>
      </w:r>
      <w:r w:rsidR="007C50A6" w:rsidRPr="00F6165B">
        <w:rPr>
          <w:rFonts w:asciiTheme="minorBidi" w:hAnsiTheme="minorBidi"/>
        </w:rPr>
        <w:t xml:space="preserve"> identif</w:t>
      </w:r>
      <w:r w:rsidR="002F7956" w:rsidRPr="00F6165B">
        <w:rPr>
          <w:rFonts w:asciiTheme="minorBidi" w:hAnsiTheme="minorBidi"/>
        </w:rPr>
        <w:t>y</w:t>
      </w:r>
      <w:r w:rsidR="007C50A6" w:rsidRPr="00F6165B">
        <w:rPr>
          <w:rFonts w:asciiTheme="minorBidi" w:hAnsiTheme="minorBidi"/>
        </w:rPr>
        <w:t xml:space="preserve"> factors associated with slower DKA</w:t>
      </w:r>
      <w:r w:rsidR="002F7956" w:rsidRPr="00F6165B">
        <w:rPr>
          <w:rFonts w:asciiTheme="minorBidi" w:hAnsiTheme="minorBidi"/>
        </w:rPr>
        <w:t xml:space="preserve"> </w:t>
      </w:r>
      <w:r w:rsidR="00C37381" w:rsidRPr="00F6165B">
        <w:rPr>
          <w:rFonts w:asciiTheme="minorBidi" w:hAnsiTheme="minorBidi"/>
        </w:rPr>
        <w:t xml:space="preserve">resolution </w:t>
      </w:r>
      <w:r w:rsidR="002F7956" w:rsidRPr="00F6165B">
        <w:rPr>
          <w:rFonts w:asciiTheme="minorBidi" w:hAnsiTheme="minorBidi"/>
        </w:rPr>
        <w:t>and examine</w:t>
      </w:r>
      <w:r w:rsidR="007C50A6" w:rsidRPr="00F6165B">
        <w:rPr>
          <w:rFonts w:asciiTheme="minorBidi" w:hAnsiTheme="minorBidi"/>
        </w:rPr>
        <w:t xml:space="preserve"> key elements of DKA management including insulin </w:t>
      </w:r>
      <w:r w:rsidR="00773EF7" w:rsidRPr="00F6165B">
        <w:rPr>
          <w:rFonts w:asciiTheme="minorBidi" w:hAnsiTheme="minorBidi"/>
        </w:rPr>
        <w:t>infusion rate,</w:t>
      </w:r>
      <w:r w:rsidR="009F7F1E" w:rsidRPr="00F6165B">
        <w:rPr>
          <w:rFonts w:asciiTheme="minorBidi" w:hAnsiTheme="minorBidi"/>
        </w:rPr>
        <w:t xml:space="preserve"> and</w:t>
      </w:r>
      <w:r w:rsidR="007C50A6" w:rsidRPr="00F6165B">
        <w:rPr>
          <w:rFonts w:asciiTheme="minorBidi" w:hAnsiTheme="minorBidi"/>
        </w:rPr>
        <w:t xml:space="preserve"> </w:t>
      </w:r>
      <w:r w:rsidR="002F7956" w:rsidRPr="00F6165B">
        <w:rPr>
          <w:rFonts w:asciiTheme="minorBidi" w:hAnsiTheme="minorBidi"/>
        </w:rPr>
        <w:t>type</w:t>
      </w:r>
      <w:r w:rsidR="007C50A6" w:rsidRPr="00F6165B">
        <w:rPr>
          <w:rFonts w:asciiTheme="minorBidi" w:hAnsiTheme="minorBidi"/>
        </w:rPr>
        <w:t xml:space="preserve"> of intravenous fluids</w:t>
      </w:r>
      <w:r w:rsidR="00773EF7" w:rsidRPr="00F6165B">
        <w:rPr>
          <w:rFonts w:asciiTheme="minorBidi" w:hAnsiTheme="minorBidi"/>
        </w:rPr>
        <w:t xml:space="preserve">, aiming to identify potential improvements in our </w:t>
      </w:r>
      <w:r w:rsidR="00B67447" w:rsidRPr="00F6165B">
        <w:rPr>
          <w:rFonts w:asciiTheme="minorBidi" w:hAnsiTheme="minorBidi"/>
        </w:rPr>
        <w:t>DKA management</w:t>
      </w:r>
      <w:r w:rsidR="00773EF7" w:rsidRPr="00F6165B">
        <w:rPr>
          <w:rFonts w:asciiTheme="minorBidi" w:hAnsiTheme="minorBidi"/>
        </w:rPr>
        <w:t xml:space="preserve"> protocol</w:t>
      </w:r>
      <w:r w:rsidR="007C50A6" w:rsidRPr="00F6165B">
        <w:rPr>
          <w:rFonts w:asciiTheme="minorBidi" w:hAnsiTheme="minorBidi"/>
        </w:rPr>
        <w:t xml:space="preserve">. </w:t>
      </w:r>
    </w:p>
    <w:p w14:paraId="153520EE" w14:textId="1AEB2A39" w:rsidR="00E81C4C" w:rsidRPr="00F6165B" w:rsidRDefault="00E81C4C" w:rsidP="005E32F1">
      <w:pPr>
        <w:pStyle w:val="CommentText"/>
        <w:rPr>
          <w:rFonts w:asciiTheme="minorBidi" w:hAnsiTheme="minorBidi"/>
          <w:sz w:val="22"/>
          <w:szCs w:val="22"/>
        </w:rPr>
      </w:pPr>
      <w:r w:rsidRPr="00F6165B">
        <w:rPr>
          <w:rFonts w:asciiTheme="minorBidi" w:hAnsiTheme="minorBidi"/>
          <w:b/>
          <w:bCs/>
        </w:rPr>
        <w:t>Method:</w:t>
      </w:r>
      <w:r w:rsidR="00215475" w:rsidRPr="00F6165B">
        <w:rPr>
          <w:rFonts w:asciiTheme="minorBidi" w:hAnsiTheme="minorBidi"/>
          <w:b/>
          <w:bCs/>
        </w:rPr>
        <w:t xml:space="preserve"> </w:t>
      </w:r>
      <w:r w:rsidR="000B0E86" w:rsidRPr="00F6165B">
        <w:rPr>
          <w:rFonts w:asciiTheme="minorBidi" w:hAnsiTheme="minorBidi"/>
          <w:sz w:val="22"/>
          <w:szCs w:val="22"/>
        </w:rPr>
        <w:t>120 patients identified with DKA</w:t>
      </w:r>
      <w:r w:rsidR="00F8304F" w:rsidRPr="00F6165B">
        <w:rPr>
          <w:rFonts w:asciiTheme="minorBidi" w:hAnsiTheme="minorBidi"/>
          <w:sz w:val="22"/>
          <w:szCs w:val="22"/>
        </w:rPr>
        <w:t xml:space="preserve"> (97)</w:t>
      </w:r>
      <w:r w:rsidR="000B0E86" w:rsidRPr="00F6165B">
        <w:rPr>
          <w:rFonts w:asciiTheme="minorBidi" w:hAnsiTheme="minorBidi"/>
          <w:sz w:val="22"/>
          <w:szCs w:val="22"/>
        </w:rPr>
        <w:t xml:space="preserve"> and </w:t>
      </w:r>
      <w:r w:rsidR="009159EC" w:rsidRPr="00F6165B">
        <w:rPr>
          <w:rFonts w:asciiTheme="minorBidi" w:hAnsiTheme="minorBidi"/>
          <w:sz w:val="22"/>
          <w:szCs w:val="22"/>
        </w:rPr>
        <w:t>H-DKA</w:t>
      </w:r>
      <w:r w:rsidR="00F8304F" w:rsidRPr="00F6165B">
        <w:rPr>
          <w:rFonts w:asciiTheme="minorBidi" w:hAnsiTheme="minorBidi"/>
          <w:sz w:val="22"/>
          <w:szCs w:val="22"/>
        </w:rPr>
        <w:t xml:space="preserve"> (23)</w:t>
      </w:r>
      <w:r w:rsidR="009159EC" w:rsidRPr="00F6165B">
        <w:rPr>
          <w:rFonts w:asciiTheme="minorBidi" w:hAnsiTheme="minorBidi"/>
          <w:sz w:val="22"/>
          <w:szCs w:val="22"/>
        </w:rPr>
        <w:t xml:space="preserve"> </w:t>
      </w:r>
      <w:r w:rsidR="00BF6401" w:rsidRPr="00F6165B">
        <w:rPr>
          <w:rFonts w:asciiTheme="minorBidi" w:hAnsiTheme="minorBidi"/>
          <w:sz w:val="22"/>
          <w:szCs w:val="22"/>
        </w:rPr>
        <w:t xml:space="preserve">at Westmead Hospital between 2015-2017 </w:t>
      </w:r>
      <w:r w:rsidR="000B0E86" w:rsidRPr="00F6165B">
        <w:rPr>
          <w:rFonts w:asciiTheme="minorBidi" w:hAnsiTheme="minorBidi"/>
          <w:sz w:val="22"/>
          <w:szCs w:val="22"/>
        </w:rPr>
        <w:t>were reviewed.</w:t>
      </w:r>
      <w:r w:rsidR="00BF6401" w:rsidRPr="00F6165B">
        <w:rPr>
          <w:rFonts w:asciiTheme="minorBidi" w:hAnsiTheme="minorBidi"/>
          <w:sz w:val="22"/>
          <w:szCs w:val="22"/>
        </w:rPr>
        <w:t xml:space="preserve">  </w:t>
      </w:r>
      <w:r w:rsidR="006B3289" w:rsidRPr="00F6165B">
        <w:rPr>
          <w:rFonts w:asciiTheme="minorBidi" w:hAnsiTheme="minorBidi"/>
          <w:sz w:val="22"/>
          <w:szCs w:val="22"/>
        </w:rPr>
        <w:t xml:space="preserve">DKA </w:t>
      </w:r>
      <w:r w:rsidR="00862FD7" w:rsidRPr="00F6165B">
        <w:rPr>
          <w:rFonts w:asciiTheme="minorBidi" w:hAnsiTheme="minorBidi"/>
          <w:sz w:val="22"/>
          <w:szCs w:val="22"/>
        </w:rPr>
        <w:t xml:space="preserve">resolution </w:t>
      </w:r>
      <w:r w:rsidR="006B3289" w:rsidRPr="00F6165B">
        <w:rPr>
          <w:rFonts w:asciiTheme="minorBidi" w:hAnsiTheme="minorBidi"/>
          <w:sz w:val="22"/>
          <w:szCs w:val="22"/>
        </w:rPr>
        <w:t xml:space="preserve">was </w:t>
      </w:r>
      <w:r w:rsidR="00862FD7" w:rsidRPr="00F6165B">
        <w:rPr>
          <w:rFonts w:asciiTheme="minorBidi" w:hAnsiTheme="minorBidi"/>
          <w:sz w:val="22"/>
          <w:szCs w:val="22"/>
        </w:rPr>
        <w:t>defin</w:t>
      </w:r>
      <w:r w:rsidR="006B3289" w:rsidRPr="00F6165B">
        <w:rPr>
          <w:rFonts w:asciiTheme="minorBidi" w:hAnsiTheme="minorBidi"/>
          <w:sz w:val="22"/>
          <w:szCs w:val="22"/>
        </w:rPr>
        <w:t xml:space="preserve">ed as BGL </w:t>
      </w:r>
      <w:r w:rsidR="00862FD7" w:rsidRPr="00F6165B">
        <w:rPr>
          <w:rFonts w:asciiTheme="minorBidi" w:hAnsiTheme="minorBidi"/>
          <w:sz w:val="22"/>
          <w:szCs w:val="22"/>
        </w:rPr>
        <w:t>&lt;</w:t>
      </w:r>
      <w:r w:rsidR="006B3289" w:rsidRPr="00F6165B">
        <w:rPr>
          <w:rFonts w:asciiTheme="minorBidi" w:hAnsiTheme="minorBidi"/>
          <w:sz w:val="22"/>
          <w:szCs w:val="22"/>
        </w:rPr>
        <w:t xml:space="preserve"> 11</w:t>
      </w:r>
      <w:r w:rsidR="00862FD7" w:rsidRPr="00F6165B">
        <w:rPr>
          <w:rFonts w:asciiTheme="minorBidi" w:hAnsiTheme="minorBidi"/>
          <w:sz w:val="22"/>
          <w:szCs w:val="22"/>
        </w:rPr>
        <w:t>.1</w:t>
      </w:r>
      <w:r w:rsidR="006B3289" w:rsidRPr="00F6165B">
        <w:rPr>
          <w:rFonts w:asciiTheme="minorBidi" w:hAnsiTheme="minorBidi"/>
          <w:sz w:val="22"/>
          <w:szCs w:val="22"/>
        </w:rPr>
        <w:t xml:space="preserve">, ketones </w:t>
      </w:r>
      <w:r w:rsidR="00862FD7" w:rsidRPr="00F6165B">
        <w:rPr>
          <w:rFonts w:asciiTheme="minorBidi" w:hAnsiTheme="minorBidi"/>
          <w:sz w:val="22"/>
          <w:szCs w:val="22"/>
        </w:rPr>
        <w:t>&lt; 1.0</w:t>
      </w:r>
      <w:r w:rsidR="006B3289" w:rsidRPr="00F6165B">
        <w:rPr>
          <w:rFonts w:asciiTheme="minorBidi" w:hAnsiTheme="minorBidi"/>
          <w:sz w:val="22"/>
          <w:szCs w:val="22"/>
        </w:rPr>
        <w:t xml:space="preserve"> and bicarbonate </w:t>
      </w:r>
      <w:r w:rsidR="00862FD7" w:rsidRPr="00F6165B">
        <w:rPr>
          <w:rFonts w:asciiTheme="minorBidi" w:hAnsiTheme="minorBidi"/>
          <w:sz w:val="22"/>
          <w:szCs w:val="22"/>
        </w:rPr>
        <w:t xml:space="preserve">≥ </w:t>
      </w:r>
      <w:r w:rsidR="006B3289" w:rsidRPr="00F6165B">
        <w:rPr>
          <w:rFonts w:asciiTheme="minorBidi" w:hAnsiTheme="minorBidi"/>
          <w:sz w:val="22"/>
          <w:szCs w:val="22"/>
        </w:rPr>
        <w:t>16</w:t>
      </w:r>
      <w:r w:rsidR="00FC70AD" w:rsidRPr="00F6165B">
        <w:rPr>
          <w:rFonts w:asciiTheme="minorBidi" w:hAnsiTheme="minorBidi"/>
          <w:sz w:val="22"/>
          <w:szCs w:val="22"/>
        </w:rPr>
        <w:t xml:space="preserve">. </w:t>
      </w:r>
      <w:r w:rsidR="00F35E60" w:rsidRPr="00F6165B">
        <w:rPr>
          <w:rFonts w:asciiTheme="minorBidi" w:hAnsiTheme="minorBidi"/>
          <w:sz w:val="22"/>
          <w:szCs w:val="22"/>
        </w:rPr>
        <w:t>Wilcoxon rank</w:t>
      </w:r>
      <w:r w:rsidR="00FC70AD" w:rsidRPr="00F6165B">
        <w:rPr>
          <w:rFonts w:asciiTheme="minorBidi" w:hAnsiTheme="minorBidi"/>
          <w:sz w:val="22"/>
          <w:szCs w:val="22"/>
        </w:rPr>
        <w:t>-sum test</w:t>
      </w:r>
      <w:r w:rsidR="00314563" w:rsidRPr="00F6165B">
        <w:rPr>
          <w:rFonts w:asciiTheme="minorBidi" w:hAnsiTheme="minorBidi"/>
          <w:sz w:val="22"/>
          <w:szCs w:val="22"/>
        </w:rPr>
        <w:t xml:space="preserve">, ANOVA and </w:t>
      </w:r>
      <w:r w:rsidR="00FC70AD" w:rsidRPr="00F6165B">
        <w:rPr>
          <w:rFonts w:asciiTheme="minorBidi" w:hAnsiTheme="minorBidi"/>
          <w:sz w:val="22"/>
          <w:szCs w:val="22"/>
        </w:rPr>
        <w:t>Fisher’s exact</w:t>
      </w:r>
      <w:r w:rsidR="00314563" w:rsidRPr="00F6165B">
        <w:rPr>
          <w:rFonts w:asciiTheme="minorBidi" w:hAnsiTheme="minorBidi"/>
          <w:sz w:val="22"/>
          <w:szCs w:val="22"/>
        </w:rPr>
        <w:t xml:space="preserve"> </w:t>
      </w:r>
      <w:r w:rsidR="006B3289" w:rsidRPr="00F6165B">
        <w:rPr>
          <w:rFonts w:asciiTheme="minorBidi" w:hAnsiTheme="minorBidi"/>
          <w:sz w:val="22"/>
          <w:szCs w:val="22"/>
        </w:rPr>
        <w:t>test compare</w:t>
      </w:r>
      <w:r w:rsidR="00746669" w:rsidRPr="00F6165B">
        <w:rPr>
          <w:rFonts w:asciiTheme="minorBidi" w:hAnsiTheme="minorBidi"/>
          <w:sz w:val="22"/>
          <w:szCs w:val="22"/>
        </w:rPr>
        <w:t>d</w:t>
      </w:r>
      <w:r w:rsidR="006B3289" w:rsidRPr="00F6165B">
        <w:rPr>
          <w:rFonts w:asciiTheme="minorBidi" w:hAnsiTheme="minorBidi"/>
          <w:sz w:val="22"/>
          <w:szCs w:val="22"/>
        </w:rPr>
        <w:t xml:space="preserve"> baseline characteristics, </w:t>
      </w:r>
      <w:r w:rsidR="00A90C59" w:rsidRPr="00F6165B">
        <w:rPr>
          <w:rFonts w:asciiTheme="minorBidi" w:hAnsiTheme="minorBidi"/>
          <w:sz w:val="22"/>
          <w:szCs w:val="22"/>
        </w:rPr>
        <w:t xml:space="preserve">time to </w:t>
      </w:r>
      <w:r w:rsidR="00A52E1C" w:rsidRPr="00F6165B">
        <w:rPr>
          <w:rFonts w:asciiTheme="minorBidi" w:hAnsiTheme="minorBidi"/>
          <w:sz w:val="22"/>
          <w:szCs w:val="22"/>
        </w:rPr>
        <w:t xml:space="preserve">DKA </w:t>
      </w:r>
      <w:r w:rsidR="006B3289" w:rsidRPr="00F6165B">
        <w:rPr>
          <w:rFonts w:asciiTheme="minorBidi" w:hAnsiTheme="minorBidi"/>
          <w:sz w:val="22"/>
          <w:szCs w:val="22"/>
        </w:rPr>
        <w:t xml:space="preserve">resolution, </w:t>
      </w:r>
      <w:r w:rsidR="00E436F0" w:rsidRPr="00F6165B">
        <w:rPr>
          <w:rFonts w:asciiTheme="minorBidi" w:hAnsiTheme="minorBidi"/>
          <w:sz w:val="22"/>
          <w:szCs w:val="22"/>
        </w:rPr>
        <w:t>adverse events, total insulin dose</w:t>
      </w:r>
      <w:r w:rsidR="00D82E80" w:rsidRPr="00F6165B">
        <w:rPr>
          <w:rFonts w:asciiTheme="minorBidi" w:hAnsiTheme="minorBidi"/>
          <w:sz w:val="22"/>
          <w:szCs w:val="22"/>
        </w:rPr>
        <w:t xml:space="preserve"> and </w:t>
      </w:r>
      <w:r w:rsidR="00E436F0" w:rsidRPr="00F6165B">
        <w:rPr>
          <w:rFonts w:asciiTheme="minorBidi" w:hAnsiTheme="minorBidi"/>
          <w:sz w:val="22"/>
          <w:szCs w:val="22"/>
        </w:rPr>
        <w:t>IV fluid type and volume</w:t>
      </w:r>
      <w:r w:rsidR="006B3289" w:rsidRPr="00F6165B">
        <w:rPr>
          <w:rFonts w:asciiTheme="minorBidi" w:hAnsiTheme="minorBidi"/>
          <w:sz w:val="22"/>
          <w:szCs w:val="22"/>
        </w:rPr>
        <w:t>.</w:t>
      </w:r>
      <w:r w:rsidR="00E436F0" w:rsidRPr="00F6165B">
        <w:rPr>
          <w:rFonts w:asciiTheme="minorBidi" w:hAnsiTheme="minorBidi"/>
          <w:sz w:val="22"/>
          <w:szCs w:val="22"/>
        </w:rPr>
        <w:t xml:space="preserve"> Multivariate </w:t>
      </w:r>
      <w:r w:rsidR="00057F6C" w:rsidRPr="00F6165B">
        <w:rPr>
          <w:rFonts w:asciiTheme="minorBidi" w:hAnsiTheme="minorBidi"/>
          <w:sz w:val="22"/>
          <w:szCs w:val="22"/>
        </w:rPr>
        <w:t>analyses</w:t>
      </w:r>
      <w:r w:rsidR="00E436F0" w:rsidRPr="00F6165B">
        <w:rPr>
          <w:rFonts w:asciiTheme="minorBidi" w:hAnsiTheme="minorBidi"/>
          <w:sz w:val="22"/>
          <w:szCs w:val="22"/>
        </w:rPr>
        <w:t xml:space="preserve"> were performed using linear and logistic regression.</w:t>
      </w:r>
    </w:p>
    <w:p w14:paraId="12006048" w14:textId="05D57B5C" w:rsidR="00E32501" w:rsidRPr="00F6165B" w:rsidRDefault="00E81C4C" w:rsidP="00F43947">
      <w:pPr>
        <w:rPr>
          <w:rFonts w:asciiTheme="minorBidi" w:hAnsiTheme="minorBidi"/>
        </w:rPr>
      </w:pPr>
      <w:r w:rsidRPr="00F6165B">
        <w:rPr>
          <w:rFonts w:asciiTheme="minorBidi" w:hAnsiTheme="minorBidi"/>
          <w:b/>
          <w:bCs/>
        </w:rPr>
        <w:t>Result</w:t>
      </w:r>
      <w:r w:rsidR="00E32501" w:rsidRPr="00F6165B">
        <w:rPr>
          <w:rFonts w:asciiTheme="minorBidi" w:hAnsiTheme="minorBidi"/>
          <w:b/>
          <w:bCs/>
        </w:rPr>
        <w:t xml:space="preserve">s: </w:t>
      </w:r>
      <w:r w:rsidR="00E32501" w:rsidRPr="00F6165B">
        <w:rPr>
          <w:rFonts w:asciiTheme="minorBidi" w:hAnsiTheme="minorBidi"/>
        </w:rPr>
        <w:t xml:space="preserve">Median </w:t>
      </w:r>
      <w:r w:rsidR="00A52E1C" w:rsidRPr="00F6165B">
        <w:rPr>
          <w:rFonts w:asciiTheme="minorBidi" w:hAnsiTheme="minorBidi"/>
        </w:rPr>
        <w:t xml:space="preserve">DKA </w:t>
      </w:r>
      <w:r w:rsidR="00E32501" w:rsidRPr="00F6165B">
        <w:rPr>
          <w:rFonts w:asciiTheme="minorBidi" w:hAnsiTheme="minorBidi"/>
        </w:rPr>
        <w:t xml:space="preserve">resolution </w:t>
      </w:r>
      <w:r w:rsidR="009159EC" w:rsidRPr="00F6165B">
        <w:rPr>
          <w:rFonts w:asciiTheme="minorBidi" w:hAnsiTheme="minorBidi"/>
        </w:rPr>
        <w:t xml:space="preserve">time </w:t>
      </w:r>
      <w:r w:rsidR="00D82E80" w:rsidRPr="00F6165B">
        <w:rPr>
          <w:rFonts w:asciiTheme="minorBidi" w:hAnsiTheme="minorBidi"/>
        </w:rPr>
        <w:t>was 1</w:t>
      </w:r>
      <w:r w:rsidR="00E32501" w:rsidRPr="00F6165B">
        <w:rPr>
          <w:rFonts w:asciiTheme="minorBidi" w:hAnsiTheme="minorBidi"/>
        </w:rPr>
        <w:t xml:space="preserve">2 hours in both DKA and </w:t>
      </w:r>
      <w:r w:rsidR="009159EC" w:rsidRPr="00F6165B">
        <w:rPr>
          <w:rFonts w:asciiTheme="minorBidi" w:hAnsiTheme="minorBidi"/>
        </w:rPr>
        <w:t>H-</w:t>
      </w:r>
      <w:r w:rsidR="00E32501" w:rsidRPr="00F6165B">
        <w:rPr>
          <w:rFonts w:asciiTheme="minorBidi" w:hAnsiTheme="minorBidi"/>
        </w:rPr>
        <w:t>DKA</w:t>
      </w:r>
      <w:r w:rsidR="00A90C59" w:rsidRPr="00F6165B">
        <w:rPr>
          <w:rFonts w:asciiTheme="minorBidi" w:hAnsiTheme="minorBidi"/>
        </w:rPr>
        <w:t xml:space="preserve"> </w:t>
      </w:r>
      <w:r w:rsidR="00E32501" w:rsidRPr="00F6165B">
        <w:rPr>
          <w:rFonts w:asciiTheme="minorBidi" w:hAnsiTheme="minorBidi"/>
        </w:rPr>
        <w:t>group</w:t>
      </w:r>
      <w:r w:rsidR="00BF6401" w:rsidRPr="00F6165B">
        <w:rPr>
          <w:rFonts w:asciiTheme="minorBidi" w:hAnsiTheme="minorBidi"/>
        </w:rPr>
        <w:t>s</w:t>
      </w:r>
      <w:r w:rsidR="00E32501" w:rsidRPr="00F6165B">
        <w:rPr>
          <w:rFonts w:asciiTheme="minorBidi" w:hAnsiTheme="minorBidi"/>
        </w:rPr>
        <w:t xml:space="preserve">. </w:t>
      </w:r>
      <w:r w:rsidR="00C37381" w:rsidRPr="00F6165B">
        <w:rPr>
          <w:rFonts w:asciiTheme="minorBidi" w:hAnsiTheme="minorBidi"/>
        </w:rPr>
        <w:t>H-DKA was associated with acute kidney injuries (12/23, p &lt; 0.01), acute coronary syndrome (7/23, p &lt; 0.01), deep vein thrombosis (2/23, p = 0.035) and noradrenaline use (5/23, p &lt; 0.01).</w:t>
      </w:r>
      <w:r w:rsidR="00A90C59" w:rsidRPr="00F6165B">
        <w:rPr>
          <w:rFonts w:asciiTheme="minorBidi" w:hAnsiTheme="minorBidi"/>
        </w:rPr>
        <w:t xml:space="preserve"> </w:t>
      </w:r>
      <w:r w:rsidR="00B67447" w:rsidRPr="00F6165B">
        <w:rPr>
          <w:rFonts w:asciiTheme="minorBidi" w:hAnsiTheme="minorBidi"/>
        </w:rPr>
        <w:t>Factors associated with slower DKA resolution included higher weight (p &lt; 0.001), low</w:t>
      </w:r>
      <w:r w:rsidR="00633F76" w:rsidRPr="00F6165B">
        <w:rPr>
          <w:rFonts w:asciiTheme="minorBidi" w:hAnsiTheme="minorBidi"/>
        </w:rPr>
        <w:t xml:space="preserve">er admission </w:t>
      </w:r>
      <w:r w:rsidR="00B67447" w:rsidRPr="00F6165B">
        <w:rPr>
          <w:rFonts w:asciiTheme="minorBidi" w:hAnsiTheme="minorBidi"/>
        </w:rPr>
        <w:t>bicarbonate (p = 0.014) and</w:t>
      </w:r>
      <w:r w:rsidR="00455898" w:rsidRPr="00F6165B">
        <w:rPr>
          <w:rFonts w:asciiTheme="minorBidi" w:hAnsiTheme="minorBidi"/>
        </w:rPr>
        <w:t xml:space="preserve"> </w:t>
      </w:r>
      <w:r w:rsidR="00B67447" w:rsidRPr="00F6165B">
        <w:rPr>
          <w:rFonts w:asciiTheme="minorBidi" w:hAnsiTheme="minorBidi"/>
        </w:rPr>
        <w:t xml:space="preserve">chloride (p = 0.038). </w:t>
      </w:r>
      <w:r w:rsidR="003D2BBE" w:rsidRPr="00F6165B">
        <w:rPr>
          <w:rFonts w:asciiTheme="minorBidi" w:hAnsiTheme="minorBidi"/>
        </w:rPr>
        <w:t>29 patients</w:t>
      </w:r>
      <w:r w:rsidR="00630C01" w:rsidRPr="00F6165B">
        <w:rPr>
          <w:rFonts w:asciiTheme="minorBidi" w:hAnsiTheme="minorBidi"/>
        </w:rPr>
        <w:t xml:space="preserve"> who </w:t>
      </w:r>
      <w:r w:rsidR="00A1746F" w:rsidRPr="00F6165B">
        <w:rPr>
          <w:rFonts w:asciiTheme="minorBidi" w:hAnsiTheme="minorBidi"/>
        </w:rPr>
        <w:t xml:space="preserve">required </w:t>
      </w:r>
      <w:r w:rsidR="003D2BBE" w:rsidRPr="00F6165B">
        <w:rPr>
          <w:rFonts w:asciiTheme="minorBidi" w:hAnsiTheme="minorBidi"/>
        </w:rPr>
        <w:t xml:space="preserve">increased insulin </w:t>
      </w:r>
      <w:r w:rsidR="00056F0E" w:rsidRPr="00F6165B">
        <w:rPr>
          <w:rFonts w:asciiTheme="minorBidi" w:hAnsiTheme="minorBidi"/>
        </w:rPr>
        <w:t xml:space="preserve">infusion </w:t>
      </w:r>
      <w:r w:rsidR="003D2BBE" w:rsidRPr="00F6165B">
        <w:rPr>
          <w:rFonts w:asciiTheme="minorBidi" w:hAnsiTheme="minorBidi"/>
        </w:rPr>
        <w:t xml:space="preserve">rate were </w:t>
      </w:r>
      <w:r w:rsidR="00BF6401" w:rsidRPr="00F6165B">
        <w:rPr>
          <w:rFonts w:asciiTheme="minorBidi" w:hAnsiTheme="minorBidi"/>
        </w:rPr>
        <w:t>heavier</w:t>
      </w:r>
      <w:r w:rsidR="003D2BBE" w:rsidRPr="00F6165B">
        <w:rPr>
          <w:rFonts w:asciiTheme="minorBidi" w:hAnsiTheme="minorBidi"/>
        </w:rPr>
        <w:t xml:space="preserve"> (</w:t>
      </w:r>
      <w:r w:rsidR="00F73C77" w:rsidRPr="00F6165B">
        <w:rPr>
          <w:rFonts w:asciiTheme="minorBidi" w:hAnsiTheme="minorBidi"/>
        </w:rPr>
        <w:t xml:space="preserve">mean </w:t>
      </w:r>
      <w:r w:rsidR="00BF6401" w:rsidRPr="00F6165B">
        <w:rPr>
          <w:rFonts w:asciiTheme="minorBidi" w:hAnsiTheme="minorBidi"/>
        </w:rPr>
        <w:t xml:space="preserve">weight </w:t>
      </w:r>
      <w:r w:rsidR="003D2BBE" w:rsidRPr="00F6165B">
        <w:rPr>
          <w:rFonts w:asciiTheme="minorBidi" w:hAnsiTheme="minorBidi"/>
        </w:rPr>
        <w:t xml:space="preserve">87 vs 71kg, p = 0.02) and </w:t>
      </w:r>
      <w:r w:rsidR="00BF6401" w:rsidRPr="00F6165B">
        <w:rPr>
          <w:rFonts w:asciiTheme="minorBidi" w:hAnsiTheme="minorBidi"/>
        </w:rPr>
        <w:t xml:space="preserve">had </w:t>
      </w:r>
      <w:r w:rsidR="00991324" w:rsidRPr="00F6165B">
        <w:rPr>
          <w:rFonts w:asciiTheme="minorBidi" w:hAnsiTheme="minorBidi"/>
        </w:rPr>
        <w:t xml:space="preserve">slower </w:t>
      </w:r>
      <w:r w:rsidR="003D2BBE" w:rsidRPr="00F6165B">
        <w:rPr>
          <w:rFonts w:asciiTheme="minorBidi" w:hAnsiTheme="minorBidi"/>
        </w:rPr>
        <w:t xml:space="preserve">DKA </w:t>
      </w:r>
      <w:r w:rsidR="00087F93" w:rsidRPr="00F6165B">
        <w:rPr>
          <w:rFonts w:asciiTheme="minorBidi" w:hAnsiTheme="minorBidi"/>
        </w:rPr>
        <w:t xml:space="preserve">resolution </w:t>
      </w:r>
      <w:r w:rsidR="003D2BBE" w:rsidRPr="00F6165B">
        <w:rPr>
          <w:rFonts w:asciiTheme="minorBidi" w:hAnsiTheme="minorBidi"/>
        </w:rPr>
        <w:t xml:space="preserve">(OR 1.45, p &lt;0.01). Higher volume of normal saline in the first 24 hours (4.67 vs 3.86L) was associated with </w:t>
      </w:r>
      <w:proofErr w:type="spellStart"/>
      <w:r w:rsidR="003D2BBE" w:rsidRPr="00F6165B">
        <w:rPr>
          <w:rFonts w:asciiTheme="minorBidi" w:hAnsiTheme="minorBidi"/>
        </w:rPr>
        <w:t>hyperchloraemia</w:t>
      </w:r>
      <w:proofErr w:type="spellEnd"/>
      <w:r w:rsidR="003D2BBE" w:rsidRPr="00F6165B">
        <w:rPr>
          <w:rFonts w:asciiTheme="minorBidi" w:hAnsiTheme="minorBidi"/>
        </w:rPr>
        <w:t xml:space="preserve"> (p = 0.002) and </w:t>
      </w:r>
      <w:r w:rsidR="0096498C" w:rsidRPr="00F6165B">
        <w:rPr>
          <w:rFonts w:asciiTheme="minorBidi" w:hAnsiTheme="minorBidi"/>
        </w:rPr>
        <w:t>delayed</w:t>
      </w:r>
      <w:r w:rsidR="00AA6384" w:rsidRPr="00F6165B">
        <w:rPr>
          <w:rFonts w:asciiTheme="minorBidi" w:hAnsiTheme="minorBidi"/>
        </w:rPr>
        <w:t xml:space="preserve"> </w:t>
      </w:r>
      <w:r w:rsidR="00A1746F" w:rsidRPr="00F6165B">
        <w:rPr>
          <w:rFonts w:asciiTheme="minorBidi" w:hAnsiTheme="minorBidi"/>
        </w:rPr>
        <w:t xml:space="preserve">normalisation </w:t>
      </w:r>
      <w:r w:rsidR="003D2BBE" w:rsidRPr="00F6165B">
        <w:rPr>
          <w:rFonts w:asciiTheme="minorBidi" w:hAnsiTheme="minorBidi"/>
        </w:rPr>
        <w:t xml:space="preserve">of </w:t>
      </w:r>
      <w:r w:rsidR="00D82E80" w:rsidRPr="00F6165B">
        <w:rPr>
          <w:rFonts w:asciiTheme="minorBidi" w:hAnsiTheme="minorBidi"/>
        </w:rPr>
        <w:t>bicarbonate</w:t>
      </w:r>
      <w:r w:rsidR="003D2BBE" w:rsidRPr="00F6165B">
        <w:rPr>
          <w:rFonts w:asciiTheme="minorBidi" w:hAnsiTheme="minorBidi"/>
        </w:rPr>
        <w:t xml:space="preserve"> (OR 1.22, p = 0.03).</w:t>
      </w:r>
      <w:r w:rsidR="0096498C" w:rsidRPr="00F6165B">
        <w:rPr>
          <w:rFonts w:asciiTheme="minorBidi" w:hAnsiTheme="minorBidi"/>
        </w:rPr>
        <w:t xml:space="preserve"> Balanced </w:t>
      </w:r>
      <w:r w:rsidR="00F73C77" w:rsidRPr="00F6165B">
        <w:rPr>
          <w:rFonts w:asciiTheme="minorBidi" w:hAnsiTheme="minorBidi"/>
        </w:rPr>
        <w:t>crystalloids</w:t>
      </w:r>
      <w:r w:rsidR="0096498C" w:rsidRPr="00F6165B">
        <w:rPr>
          <w:rFonts w:asciiTheme="minorBidi" w:hAnsiTheme="minorBidi"/>
        </w:rPr>
        <w:t xml:space="preserve"> were not protective.</w:t>
      </w:r>
    </w:p>
    <w:p w14:paraId="1053B060" w14:textId="70262B17" w:rsidR="00D80E49" w:rsidRPr="00F6165B" w:rsidRDefault="00E81C4C" w:rsidP="00746669">
      <w:pPr>
        <w:rPr>
          <w:rFonts w:asciiTheme="minorBidi" w:hAnsiTheme="minorBidi"/>
        </w:rPr>
      </w:pPr>
      <w:r w:rsidRPr="00F6165B">
        <w:rPr>
          <w:rFonts w:asciiTheme="minorBidi" w:hAnsiTheme="minorBidi"/>
          <w:b/>
          <w:bCs/>
        </w:rPr>
        <w:t>Conclusion:</w:t>
      </w:r>
      <w:r w:rsidR="005E32F1" w:rsidRPr="00F6165B">
        <w:rPr>
          <w:rFonts w:asciiTheme="minorBidi" w:hAnsiTheme="minorBidi"/>
          <w:b/>
          <w:bCs/>
        </w:rPr>
        <w:t xml:space="preserve"> </w:t>
      </w:r>
      <w:r w:rsidR="00A806DA" w:rsidRPr="00F6165B">
        <w:rPr>
          <w:rFonts w:asciiTheme="minorBidi" w:hAnsiTheme="minorBidi"/>
        </w:rPr>
        <w:t xml:space="preserve">Patients with </w:t>
      </w:r>
      <w:r w:rsidR="009159EC" w:rsidRPr="00F6165B">
        <w:rPr>
          <w:rFonts w:asciiTheme="minorBidi" w:hAnsiTheme="minorBidi"/>
        </w:rPr>
        <w:t>H-</w:t>
      </w:r>
      <w:r w:rsidR="00A806DA" w:rsidRPr="00F6165B">
        <w:rPr>
          <w:rFonts w:asciiTheme="minorBidi" w:hAnsiTheme="minorBidi"/>
        </w:rPr>
        <w:t xml:space="preserve">DKA </w:t>
      </w:r>
      <w:r w:rsidR="00633F76" w:rsidRPr="00F6165B">
        <w:rPr>
          <w:rFonts w:asciiTheme="minorBidi" w:hAnsiTheme="minorBidi"/>
        </w:rPr>
        <w:t xml:space="preserve">experienced more adverse events. Higher weight, lower admission bicarbonate and chloride </w:t>
      </w:r>
      <w:r w:rsidR="00830339" w:rsidRPr="00F6165B">
        <w:rPr>
          <w:rFonts w:asciiTheme="minorBidi" w:hAnsiTheme="minorBidi"/>
        </w:rPr>
        <w:t>we</w:t>
      </w:r>
      <w:r w:rsidR="00633F76" w:rsidRPr="00F6165B">
        <w:rPr>
          <w:rFonts w:asciiTheme="minorBidi" w:hAnsiTheme="minorBidi"/>
        </w:rPr>
        <w:t>re associated with slower DKA</w:t>
      </w:r>
      <w:r w:rsidR="00087F93" w:rsidRPr="00F6165B">
        <w:rPr>
          <w:rFonts w:asciiTheme="minorBidi" w:hAnsiTheme="minorBidi"/>
        </w:rPr>
        <w:t xml:space="preserve"> resolution</w:t>
      </w:r>
      <w:r w:rsidR="00633F76" w:rsidRPr="00F6165B">
        <w:rPr>
          <w:rFonts w:asciiTheme="minorBidi" w:hAnsiTheme="minorBidi"/>
        </w:rPr>
        <w:t>.</w:t>
      </w:r>
      <w:r w:rsidR="00D80E49" w:rsidRPr="00F6165B">
        <w:rPr>
          <w:rFonts w:asciiTheme="minorBidi" w:hAnsiTheme="minorBidi"/>
        </w:rPr>
        <w:t xml:space="preserve"> </w:t>
      </w:r>
      <w:r w:rsidR="000F1211" w:rsidRPr="00F6165B">
        <w:rPr>
          <w:rFonts w:asciiTheme="minorBidi" w:hAnsiTheme="minorBidi"/>
        </w:rPr>
        <w:t>Higher p</w:t>
      </w:r>
      <w:r w:rsidR="00AA7CFD" w:rsidRPr="00F6165B">
        <w:rPr>
          <w:rFonts w:asciiTheme="minorBidi" w:hAnsiTheme="minorBidi"/>
        </w:rPr>
        <w:t xml:space="preserve">atient weight </w:t>
      </w:r>
      <w:r w:rsidR="000F1211" w:rsidRPr="00F6165B">
        <w:rPr>
          <w:rFonts w:asciiTheme="minorBidi" w:hAnsiTheme="minorBidi"/>
        </w:rPr>
        <w:t>may warrant a higher initial</w:t>
      </w:r>
      <w:r w:rsidR="00AA7CFD" w:rsidRPr="00F6165B">
        <w:rPr>
          <w:rFonts w:asciiTheme="minorBidi" w:hAnsiTheme="minorBidi"/>
        </w:rPr>
        <w:t xml:space="preserve"> i</w:t>
      </w:r>
      <w:r w:rsidR="00D80E49" w:rsidRPr="00F6165B">
        <w:rPr>
          <w:rFonts w:asciiTheme="minorBidi" w:hAnsiTheme="minorBidi"/>
        </w:rPr>
        <w:t>nsulin infusion rate</w:t>
      </w:r>
      <w:r w:rsidR="00AA7CFD" w:rsidRPr="00F6165B">
        <w:rPr>
          <w:rFonts w:asciiTheme="minorBidi" w:hAnsiTheme="minorBidi"/>
        </w:rPr>
        <w:t xml:space="preserve">. </w:t>
      </w:r>
      <w:r w:rsidR="00680B6D" w:rsidRPr="00F6165B">
        <w:rPr>
          <w:rFonts w:asciiTheme="minorBidi" w:hAnsiTheme="minorBidi"/>
        </w:rPr>
        <w:t>Higher normal saline</w:t>
      </w:r>
      <w:r w:rsidR="0096498C" w:rsidRPr="00F6165B">
        <w:rPr>
          <w:rFonts w:asciiTheme="minorBidi" w:hAnsiTheme="minorBidi"/>
        </w:rPr>
        <w:t xml:space="preserve"> volume</w:t>
      </w:r>
      <w:r w:rsidR="00680B6D" w:rsidRPr="00F6165B">
        <w:rPr>
          <w:rFonts w:asciiTheme="minorBidi" w:hAnsiTheme="minorBidi"/>
        </w:rPr>
        <w:t xml:space="preserve"> </w:t>
      </w:r>
      <w:r w:rsidR="00BF6401" w:rsidRPr="00F6165B">
        <w:rPr>
          <w:rFonts w:asciiTheme="minorBidi" w:hAnsiTheme="minorBidi"/>
        </w:rPr>
        <w:t xml:space="preserve">was associated with </w:t>
      </w:r>
      <w:r w:rsidR="00680B6D" w:rsidRPr="00F6165B">
        <w:rPr>
          <w:rFonts w:asciiTheme="minorBidi" w:hAnsiTheme="minorBidi"/>
        </w:rPr>
        <w:t>prolong</w:t>
      </w:r>
      <w:r w:rsidR="00D82E80" w:rsidRPr="00F6165B">
        <w:rPr>
          <w:rFonts w:asciiTheme="minorBidi" w:hAnsiTheme="minorBidi"/>
        </w:rPr>
        <w:t>ed</w:t>
      </w:r>
      <w:r w:rsidR="00680B6D" w:rsidRPr="00F6165B">
        <w:rPr>
          <w:rFonts w:asciiTheme="minorBidi" w:hAnsiTheme="minorBidi"/>
        </w:rPr>
        <w:t xml:space="preserve"> acidosis. </w:t>
      </w:r>
    </w:p>
    <w:p w14:paraId="2F444BB8" w14:textId="65727B73" w:rsidR="00E81C4C" w:rsidRPr="00F6165B" w:rsidRDefault="00E81C4C" w:rsidP="00E81C4C">
      <w:pPr>
        <w:rPr>
          <w:rFonts w:asciiTheme="minorBidi" w:hAnsiTheme="minorBidi"/>
          <w:b/>
          <w:bCs/>
        </w:rPr>
      </w:pPr>
    </w:p>
    <w:p w14:paraId="4C99A274" w14:textId="4DCF8A6B" w:rsidR="00E81C4C" w:rsidRPr="00F6165B" w:rsidRDefault="009159EC" w:rsidP="00E81C4C">
      <w:pPr>
        <w:rPr>
          <w:rFonts w:asciiTheme="minorBidi" w:hAnsiTheme="minorBidi"/>
        </w:rPr>
      </w:pPr>
      <w:r w:rsidRPr="00F6165B">
        <w:rPr>
          <w:rFonts w:asciiTheme="minorBidi" w:hAnsiTheme="minorBidi"/>
        </w:rPr>
        <w:t>Reference:</w:t>
      </w:r>
    </w:p>
    <w:p w14:paraId="2DFDF7C0" w14:textId="69D6E7CE" w:rsidR="009159EC" w:rsidRPr="00F6165B" w:rsidRDefault="009159EC" w:rsidP="009159EC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F6165B">
        <w:rPr>
          <w:rFonts w:asciiTheme="minorBidi" w:hAnsiTheme="minorBidi"/>
        </w:rPr>
        <w:t xml:space="preserve">Singh T et al: </w:t>
      </w:r>
      <w:r w:rsidRPr="00F6165B">
        <w:rPr>
          <w:rFonts w:asciiTheme="minorBidi" w:hAnsiTheme="minorBidi"/>
          <w:i/>
          <w:iCs/>
        </w:rPr>
        <w:t>Diabetic ketoacidosis with hyperosmolality: a separate entity? A retrospective analysis of hyperglycaemic emergencies at Westmead Hospital 2015-2017.</w:t>
      </w:r>
    </w:p>
    <w:p w14:paraId="7487B162" w14:textId="0AC9CB98" w:rsidR="00624C5A" w:rsidRPr="00F6165B" w:rsidRDefault="00624C5A" w:rsidP="00AA6384">
      <w:pPr>
        <w:pStyle w:val="ListParagraph"/>
        <w:rPr>
          <w:rFonts w:asciiTheme="minorBidi" w:hAnsiTheme="minorBidi"/>
        </w:rPr>
      </w:pPr>
      <w:r w:rsidRPr="00F6165B">
        <w:rPr>
          <w:rFonts w:asciiTheme="minorBidi" w:hAnsiTheme="minorBidi"/>
        </w:rPr>
        <w:t>Australian Diabetes Congress 2020</w:t>
      </w:r>
    </w:p>
    <w:p w14:paraId="0040DFFF" w14:textId="77777777" w:rsidR="00AE2463" w:rsidRPr="00F6165B" w:rsidRDefault="00B03791">
      <w:pPr>
        <w:rPr>
          <w:rFonts w:asciiTheme="minorBidi" w:hAnsiTheme="minorBidi"/>
        </w:rPr>
      </w:pPr>
    </w:p>
    <w:sectPr w:rsidR="00AE2463" w:rsidRPr="00F61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F6E"/>
    <w:multiLevelType w:val="hybridMultilevel"/>
    <w:tmpl w:val="535679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A3B9A"/>
    <w:multiLevelType w:val="hybridMultilevel"/>
    <w:tmpl w:val="9E081E6E"/>
    <w:lvl w:ilvl="0" w:tplc="D646B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78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2FAEE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7D887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802B3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89CBA3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7606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32DA3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392E24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74004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228924">
    <w:abstractNumId w:val="1"/>
  </w:num>
  <w:num w:numId="3" w16cid:durableId="105508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1E"/>
    <w:rsid w:val="00033C91"/>
    <w:rsid w:val="00056F0E"/>
    <w:rsid w:val="00057F6C"/>
    <w:rsid w:val="00061FBF"/>
    <w:rsid w:val="00087F93"/>
    <w:rsid w:val="000B0E86"/>
    <w:rsid w:val="000D7313"/>
    <w:rsid w:val="000F1211"/>
    <w:rsid w:val="000F6D6D"/>
    <w:rsid w:val="00104EF5"/>
    <w:rsid w:val="00122F67"/>
    <w:rsid w:val="00136729"/>
    <w:rsid w:val="00180DCC"/>
    <w:rsid w:val="001831EC"/>
    <w:rsid w:val="001962FF"/>
    <w:rsid w:val="00197B2E"/>
    <w:rsid w:val="001F507A"/>
    <w:rsid w:val="00215475"/>
    <w:rsid w:val="00243A3B"/>
    <w:rsid w:val="002B632F"/>
    <w:rsid w:val="002D50F9"/>
    <w:rsid w:val="002F00F4"/>
    <w:rsid w:val="002F7956"/>
    <w:rsid w:val="00314563"/>
    <w:rsid w:val="00335831"/>
    <w:rsid w:val="003978F1"/>
    <w:rsid w:val="003B1894"/>
    <w:rsid w:val="003D2BBE"/>
    <w:rsid w:val="00447CF6"/>
    <w:rsid w:val="00455898"/>
    <w:rsid w:val="004F46BB"/>
    <w:rsid w:val="00522DD9"/>
    <w:rsid w:val="005C19E1"/>
    <w:rsid w:val="005D6FE7"/>
    <w:rsid w:val="005E32F1"/>
    <w:rsid w:val="00607589"/>
    <w:rsid w:val="00624C5A"/>
    <w:rsid w:val="00630C01"/>
    <w:rsid w:val="00633F76"/>
    <w:rsid w:val="00680B6D"/>
    <w:rsid w:val="006A1BB2"/>
    <w:rsid w:val="006B3289"/>
    <w:rsid w:val="00731840"/>
    <w:rsid w:val="00741E39"/>
    <w:rsid w:val="00746669"/>
    <w:rsid w:val="0075073D"/>
    <w:rsid w:val="00773EF7"/>
    <w:rsid w:val="007A071D"/>
    <w:rsid w:val="007C50A6"/>
    <w:rsid w:val="00800F75"/>
    <w:rsid w:val="00830339"/>
    <w:rsid w:val="0086110E"/>
    <w:rsid w:val="008629DD"/>
    <w:rsid w:val="00862FD7"/>
    <w:rsid w:val="008767F9"/>
    <w:rsid w:val="008D1AD1"/>
    <w:rsid w:val="008E461E"/>
    <w:rsid w:val="009159EC"/>
    <w:rsid w:val="00921999"/>
    <w:rsid w:val="00937A0C"/>
    <w:rsid w:val="00946C06"/>
    <w:rsid w:val="00946DC6"/>
    <w:rsid w:val="0096498C"/>
    <w:rsid w:val="00991324"/>
    <w:rsid w:val="009C5A3D"/>
    <w:rsid w:val="009D1F5B"/>
    <w:rsid w:val="009F7F1E"/>
    <w:rsid w:val="00A1746F"/>
    <w:rsid w:val="00A50255"/>
    <w:rsid w:val="00A52E1C"/>
    <w:rsid w:val="00A77201"/>
    <w:rsid w:val="00A806DA"/>
    <w:rsid w:val="00A90C59"/>
    <w:rsid w:val="00AA6384"/>
    <w:rsid w:val="00AA7CFD"/>
    <w:rsid w:val="00B03791"/>
    <w:rsid w:val="00B325D1"/>
    <w:rsid w:val="00B67447"/>
    <w:rsid w:val="00B73838"/>
    <w:rsid w:val="00BF6401"/>
    <w:rsid w:val="00C12E1E"/>
    <w:rsid w:val="00C33F7D"/>
    <w:rsid w:val="00C37381"/>
    <w:rsid w:val="00C85F4B"/>
    <w:rsid w:val="00C87A7E"/>
    <w:rsid w:val="00CE3780"/>
    <w:rsid w:val="00D370BD"/>
    <w:rsid w:val="00D548E3"/>
    <w:rsid w:val="00D809A5"/>
    <w:rsid w:val="00D80E49"/>
    <w:rsid w:val="00D82E80"/>
    <w:rsid w:val="00DB12FE"/>
    <w:rsid w:val="00E0663C"/>
    <w:rsid w:val="00E16E33"/>
    <w:rsid w:val="00E220E0"/>
    <w:rsid w:val="00E32501"/>
    <w:rsid w:val="00E436F0"/>
    <w:rsid w:val="00E638BF"/>
    <w:rsid w:val="00E81C4C"/>
    <w:rsid w:val="00E91F30"/>
    <w:rsid w:val="00E941C5"/>
    <w:rsid w:val="00EA485A"/>
    <w:rsid w:val="00F3161D"/>
    <w:rsid w:val="00F35E60"/>
    <w:rsid w:val="00F43947"/>
    <w:rsid w:val="00F50B72"/>
    <w:rsid w:val="00F6165B"/>
    <w:rsid w:val="00F73C77"/>
    <w:rsid w:val="00F8304F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H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A5AB"/>
  <w15:chartTrackingRefBased/>
  <w15:docId w15:val="{5401E04B-2AAE-4323-A40C-85F51361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B3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289"/>
    <w:rPr>
      <w:sz w:val="20"/>
      <w:szCs w:val="20"/>
    </w:rPr>
  </w:style>
  <w:style w:type="paragraph" w:styleId="Revision">
    <w:name w:val="Revision"/>
    <w:hidden/>
    <w:uiPriority w:val="99"/>
    <w:semiHidden/>
    <w:rsid w:val="007318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59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5E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A5DCFC-1021-4994-BBBD-4FB52E750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5F150-6E97-4B14-8213-6AD3A0086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64A9A-8980-4A7B-A451-EDC68E4A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48E14-C927-4CD8-B7D3-877C350217FC}">
  <ds:schemaRefs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cab52c9b-ab33-4221-8af9-54f8f2b86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Sinha</dc:creator>
  <cp:keywords/>
  <dc:description/>
  <cp:lastModifiedBy>Emily Woolley</cp:lastModifiedBy>
  <cp:revision>2</cp:revision>
  <dcterms:created xsi:type="dcterms:W3CDTF">2023-06-06T23:01:00Z</dcterms:created>
  <dcterms:modified xsi:type="dcterms:W3CDTF">2023-06-06T23:01:00Z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