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F00E" w14:textId="41BC7537" w:rsidR="00D63C82" w:rsidRPr="00A4645B" w:rsidRDefault="008427FA" w:rsidP="00D63C82">
      <w:pPr>
        <w:rPr>
          <w:rFonts w:ascii="Arial" w:hAnsi="Arial" w:cs="Arial"/>
          <w:b/>
          <w:lang w:val="en-US"/>
        </w:rPr>
      </w:pPr>
      <w:r w:rsidRPr="007244F0">
        <w:rPr>
          <w:rFonts w:ascii="Arial" w:hAnsi="Arial" w:cs="Arial"/>
        </w:rPr>
        <w:t>Abstract title</w:t>
      </w:r>
      <w:r w:rsidR="00D63C82">
        <w:rPr>
          <w:rFonts w:ascii="Arial" w:hAnsi="Arial" w:cs="Arial"/>
        </w:rPr>
        <w:t xml:space="preserve">: </w:t>
      </w:r>
      <w:r w:rsidR="00D63C82" w:rsidRPr="00A4645B">
        <w:rPr>
          <w:rFonts w:ascii="Arial" w:hAnsi="Arial" w:cs="Arial"/>
          <w:b/>
          <w:lang w:val="en-US"/>
        </w:rPr>
        <w:t>Incident sepsis in people with or without type 2 diabetes: The Fremantle Diabetes Study Phase II</w:t>
      </w:r>
    </w:p>
    <w:p w14:paraId="265C7D9B" w14:textId="77777777" w:rsidR="008427FA" w:rsidRPr="007244F0" w:rsidRDefault="008427FA" w:rsidP="008427FA">
      <w:pPr>
        <w:rPr>
          <w:rFonts w:ascii="Arial" w:hAnsi="Arial" w:cs="Arial"/>
        </w:rPr>
      </w:pPr>
    </w:p>
    <w:p w14:paraId="7BE4AE49" w14:textId="77777777" w:rsidR="008427FA" w:rsidRPr="007244F0" w:rsidRDefault="008427FA" w:rsidP="008427FA">
      <w:pPr>
        <w:rPr>
          <w:rFonts w:ascii="Arial" w:hAnsi="Arial" w:cs="Arial"/>
        </w:rPr>
      </w:pPr>
    </w:p>
    <w:p w14:paraId="1C5AAA07" w14:textId="03AE9F55" w:rsidR="00D63C82" w:rsidRPr="00D63C82" w:rsidRDefault="00D63C82" w:rsidP="00D63C82">
      <w:pPr>
        <w:spacing w:after="160" w:line="278" w:lineRule="auto"/>
        <w:rPr>
          <w:rFonts w:ascii="Arial" w:hAnsi="Arial" w:cs="Arial"/>
          <w:kern w:val="2"/>
          <w:lang w:val="en-US"/>
          <w14:ligatures w14:val="standardContextual"/>
        </w:rPr>
      </w:pPr>
      <w:r w:rsidRPr="00D63C82">
        <w:rPr>
          <w:rFonts w:ascii="Arial" w:hAnsi="Arial" w:cs="Arial"/>
          <w:b/>
          <w:kern w:val="2"/>
          <w:lang w:val="en-US"/>
          <w14:ligatures w14:val="standardContextual"/>
        </w:rPr>
        <w:t xml:space="preserve">Background and aims: </w:t>
      </w:r>
      <w:r w:rsidRPr="00D63C82">
        <w:rPr>
          <w:rFonts w:ascii="Arial" w:hAnsi="Arial" w:cs="Arial"/>
          <w:kern w:val="2"/>
          <w:lang w:val="en-US"/>
          <w14:ligatures w14:val="standardContextual"/>
        </w:rPr>
        <w:t>Sepsis (life-threatening organ dysfunction caused by a dysregulated host response to infection) has high mortality (&gt;10%)</w:t>
      </w:r>
      <w:r>
        <w:rPr>
          <w:rFonts w:ascii="Arial" w:hAnsi="Arial" w:cs="Arial"/>
          <w:kern w:val="2"/>
          <w:lang w:val="en-US"/>
          <w14:ligatures w14:val="standardContextual"/>
        </w:rPr>
        <w:t xml:space="preserve">. </w:t>
      </w:r>
      <w:r w:rsidRPr="00D63C82">
        <w:rPr>
          <w:rFonts w:ascii="Arial" w:hAnsi="Arial" w:cs="Arial"/>
          <w:kern w:val="2"/>
          <w:lang w:val="en-US"/>
          <w14:ligatures w14:val="standardContextual"/>
        </w:rPr>
        <w:t xml:space="preserve">People with type 2 diabetes have a 2- to 6-fold increased risk of sepsis compared to people without diabetes but contemporary data are limited. This study aims to </w:t>
      </w:r>
      <w:proofErr w:type="spellStart"/>
      <w:r w:rsidRPr="00D63C82">
        <w:rPr>
          <w:rFonts w:ascii="Arial" w:hAnsi="Arial" w:cs="Arial"/>
          <w:kern w:val="2"/>
          <w:lang w:val="en-US"/>
          <w14:ligatures w14:val="standardContextual"/>
        </w:rPr>
        <w:t>i</w:t>
      </w:r>
      <w:proofErr w:type="spellEnd"/>
      <w:r w:rsidRPr="00D63C82">
        <w:rPr>
          <w:rFonts w:ascii="Arial" w:hAnsi="Arial" w:cs="Arial"/>
          <w:kern w:val="2"/>
          <w:lang w:val="en-US"/>
          <w14:ligatures w14:val="standardContextual"/>
        </w:rPr>
        <w:t>) determine the incidence of sepsis in a community-dwelling cohort of people with type 2 diabetes compared with matc</w:t>
      </w:r>
      <w:r w:rsidR="002F372E">
        <w:rPr>
          <w:rFonts w:ascii="Arial" w:hAnsi="Arial" w:cs="Arial"/>
          <w:kern w:val="2"/>
          <w:lang w:val="en-US"/>
          <w14:ligatures w14:val="standardContextual"/>
        </w:rPr>
        <w:t>hed</w:t>
      </w:r>
      <w:r w:rsidRPr="00D63C82">
        <w:rPr>
          <w:rFonts w:ascii="Arial" w:hAnsi="Arial" w:cs="Arial"/>
          <w:kern w:val="2"/>
          <w:lang w:val="en-US"/>
          <w14:ligatures w14:val="standardContextual"/>
        </w:rPr>
        <w:t xml:space="preserve"> people without diabetes ii) explore associates of incident sepsis.</w:t>
      </w:r>
    </w:p>
    <w:p w14:paraId="2CCE8598" w14:textId="431BC305" w:rsidR="00D63C82" w:rsidRPr="00D63C82" w:rsidRDefault="00D63C82" w:rsidP="00D63C82">
      <w:pPr>
        <w:spacing w:after="160" w:line="278" w:lineRule="auto"/>
        <w:rPr>
          <w:rFonts w:ascii="Arial" w:hAnsi="Arial" w:cs="Arial"/>
          <w:kern w:val="2"/>
          <w:lang w:val="en-US"/>
          <w14:ligatures w14:val="standardContextual"/>
        </w:rPr>
      </w:pPr>
      <w:r w:rsidRPr="00D63C82">
        <w:rPr>
          <w:rFonts w:ascii="Arial" w:hAnsi="Arial" w:cs="Arial"/>
          <w:b/>
          <w:bCs/>
          <w:kern w:val="2"/>
          <w:lang w:val="en-US"/>
          <w14:ligatures w14:val="standardContextual"/>
        </w:rPr>
        <w:t>Methods:</w:t>
      </w:r>
      <w:r w:rsidRPr="00D63C82">
        <w:rPr>
          <w:rFonts w:ascii="Arial" w:hAnsi="Arial" w:cs="Arial"/>
          <w:kern w:val="2"/>
          <w:lang w:val="en-US"/>
          <w14:ligatures w14:val="standardContextual"/>
        </w:rPr>
        <w:t xml:space="preserve"> The Fremantle Diabetes Study Phase II is a longitudinal observational study conducted in an urban community of 157,000 people. We followed 1,430 participants with type 2 diabetes and 5,720 de-identified age-, sex- and postcode-matched people without diabetes from entry to first record of incident sepsis in the Western Australian Hospital Morbidity Data Collection or Death Register, onset of diabetes (for the matched cohort, defined as first </w:t>
      </w:r>
      <w:proofErr w:type="spellStart"/>
      <w:r w:rsidRPr="00D63C82">
        <w:rPr>
          <w:rFonts w:ascii="Arial" w:hAnsi="Arial" w:cs="Arial"/>
          <w:kern w:val="2"/>
          <w:lang w:val="en-US"/>
          <w14:ligatures w14:val="standardContextual"/>
        </w:rPr>
        <w:t>hospitalisation</w:t>
      </w:r>
      <w:proofErr w:type="spellEnd"/>
      <w:r w:rsidRPr="00D63C82">
        <w:rPr>
          <w:rFonts w:ascii="Arial" w:hAnsi="Arial" w:cs="Arial"/>
          <w:kern w:val="2"/>
          <w:lang w:val="en-US"/>
          <w14:ligatures w14:val="standardContextual"/>
        </w:rPr>
        <w:t xml:space="preserve"> for/with diabetes) or death or end-2021, whichever came first. </w:t>
      </w:r>
    </w:p>
    <w:p w14:paraId="5E7F6F7F" w14:textId="3BFFDBA8" w:rsidR="00D63C82" w:rsidRDefault="00D63C82" w:rsidP="00D63C82">
      <w:pPr>
        <w:spacing w:after="160" w:line="278" w:lineRule="auto"/>
        <w:rPr>
          <w:rFonts w:ascii="Arial" w:hAnsi="Arial" w:cs="Arial"/>
          <w:kern w:val="2"/>
          <w:lang w:val="en-US"/>
          <w14:ligatures w14:val="standardContextual"/>
        </w:rPr>
      </w:pPr>
      <w:r w:rsidRPr="00D63C82">
        <w:rPr>
          <w:rFonts w:ascii="Arial" w:hAnsi="Arial" w:cs="Arial"/>
          <w:b/>
          <w:bCs/>
          <w:kern w:val="2"/>
          <w:lang w:val="en-US"/>
          <w14:ligatures w14:val="standardContextual"/>
        </w:rPr>
        <w:t>Results:</w:t>
      </w:r>
      <w:r>
        <w:rPr>
          <w:rFonts w:ascii="Arial" w:hAnsi="Arial" w:cs="Arial"/>
          <w:kern w:val="2"/>
          <w:lang w:val="en-US"/>
          <w14:ligatures w14:val="standardContextual"/>
        </w:rPr>
        <w:t xml:space="preserve"> </w:t>
      </w:r>
      <w:r w:rsidRPr="00D63C82">
        <w:rPr>
          <w:rFonts w:ascii="Arial" w:hAnsi="Arial" w:cs="Arial"/>
          <w:kern w:val="2"/>
          <w:lang w:val="en-US"/>
          <w14:ligatures w14:val="standardContextual"/>
        </w:rPr>
        <w:t xml:space="preserve">The combined cohorts had mean age 66 years and 52% were male. At entry, 2.0% of those with type 2 diabetes had a prior </w:t>
      </w:r>
      <w:proofErr w:type="spellStart"/>
      <w:r w:rsidRPr="00D63C82">
        <w:rPr>
          <w:rFonts w:ascii="Arial" w:hAnsi="Arial" w:cs="Arial"/>
          <w:kern w:val="2"/>
          <w:lang w:val="en-US"/>
          <w14:ligatures w14:val="standardContextual"/>
        </w:rPr>
        <w:t>hospitalisation</w:t>
      </w:r>
      <w:proofErr w:type="spellEnd"/>
      <w:r w:rsidRPr="00D63C82">
        <w:rPr>
          <w:rFonts w:ascii="Arial" w:hAnsi="Arial" w:cs="Arial"/>
          <w:kern w:val="2"/>
          <w:lang w:val="en-US"/>
          <w14:ligatures w14:val="standardContextual"/>
        </w:rPr>
        <w:t xml:space="preserve"> for/with sepsis vs 0.8% of matched counterparts (</w:t>
      </w:r>
      <w:r w:rsidRPr="00D63C82">
        <w:rPr>
          <w:rFonts w:ascii="Arial" w:hAnsi="Arial" w:cs="Arial"/>
          <w:i/>
          <w:kern w:val="2"/>
          <w:lang w:val="en-US"/>
          <w14:ligatures w14:val="standardContextual"/>
        </w:rPr>
        <w:t>P</w:t>
      </w:r>
      <w:r w:rsidRPr="00D63C82">
        <w:rPr>
          <w:rFonts w:ascii="Arial" w:hAnsi="Arial" w:cs="Arial"/>
          <w:kern w:val="2"/>
          <w:lang w:val="en-US"/>
          <w14:ligatures w14:val="standardContextual"/>
        </w:rPr>
        <w:t>&lt;0.001). During 73,139 person-years of follow-up, 169 (11.8%) participants with type 2 diabetes and 288 (5.0%) people without diabetes had incident sepsis (</w:t>
      </w:r>
      <w:r w:rsidRPr="00D63C82">
        <w:rPr>
          <w:rFonts w:ascii="Arial" w:hAnsi="Arial" w:cs="Arial"/>
          <w:i/>
          <w:kern w:val="2"/>
          <w:lang w:val="en-US"/>
          <w14:ligatures w14:val="standardContextual"/>
        </w:rPr>
        <w:t>P</w:t>
      </w:r>
      <w:r w:rsidRPr="00D63C82">
        <w:rPr>
          <w:rFonts w:ascii="Arial" w:hAnsi="Arial" w:cs="Arial"/>
          <w:kern w:val="2"/>
          <w:lang w:val="en-US"/>
          <w14:ligatures w14:val="standardContextual"/>
        </w:rPr>
        <w:t xml:space="preserve">&lt;0.001). The overall IRR was 2.38 (95% CI: 1.96, 2.89). After adjustment, type 2 diabetes remained significantly associated with double the risk of incident sepsis (HR (95% CI: 2.16 (1.78, 2.62)). For the type 2 diabetes cohort, age, male sex, Aboriginal ancestry, current smoking, insulin use, fasting serum glucose, heart rate, distal symmetrical polyneuropathy, cerebrovascular disease, and </w:t>
      </w:r>
      <w:proofErr w:type="spellStart"/>
      <w:r w:rsidRPr="00D63C82">
        <w:rPr>
          <w:rFonts w:ascii="Arial" w:hAnsi="Arial" w:cs="Arial"/>
          <w:kern w:val="2"/>
          <w:lang w:val="en-US"/>
          <w14:ligatures w14:val="standardContextual"/>
        </w:rPr>
        <w:t>logNT-proBNP</w:t>
      </w:r>
      <w:proofErr w:type="spellEnd"/>
      <w:r w:rsidRPr="00D63C82">
        <w:rPr>
          <w:rFonts w:ascii="Arial" w:hAnsi="Arial" w:cs="Arial"/>
          <w:kern w:val="2"/>
          <w:lang w:val="en-US"/>
          <w14:ligatures w14:val="standardContextual"/>
        </w:rPr>
        <w:t xml:space="preserve"> were significantly associated with incident sepsis.</w:t>
      </w:r>
    </w:p>
    <w:p w14:paraId="36CF7E21" w14:textId="4A322255" w:rsidR="00D63C82" w:rsidRPr="00A4645B" w:rsidRDefault="00D63C82" w:rsidP="00D63C82">
      <w:pPr>
        <w:spacing w:after="160" w:line="278" w:lineRule="auto"/>
        <w:rPr>
          <w:rFonts w:ascii="Arial" w:hAnsi="Arial" w:cs="Arial"/>
          <w:kern w:val="2"/>
          <w:lang w:val="en-US"/>
          <w14:ligatures w14:val="standardContextual"/>
        </w:rPr>
      </w:pPr>
      <w:r w:rsidRPr="00D63C82">
        <w:rPr>
          <w:rFonts w:ascii="Arial" w:hAnsi="Arial" w:cs="Arial"/>
          <w:b/>
          <w:bCs/>
          <w:kern w:val="2"/>
          <w:lang w:val="en-US"/>
          <w14:ligatures w14:val="standardContextual"/>
        </w:rPr>
        <w:t>Conclusions:</w:t>
      </w:r>
      <w:r w:rsidRPr="00D63C82">
        <w:rPr>
          <w:rFonts w:asciiTheme="minorHAnsi" w:hAnsiTheme="minorHAnsi"/>
          <w:kern w:val="2"/>
          <w:sz w:val="24"/>
          <w:szCs w:val="24"/>
          <w:lang w:val="en-US"/>
          <w14:ligatures w14:val="standardContextual"/>
        </w:rPr>
        <w:t xml:space="preserve"> </w:t>
      </w:r>
      <w:r w:rsidRPr="00A4645B">
        <w:rPr>
          <w:rFonts w:ascii="Arial" w:hAnsi="Arial" w:cs="Arial"/>
          <w:kern w:val="2"/>
          <w:lang w:val="en-US"/>
          <w14:ligatures w14:val="standardContextual"/>
        </w:rPr>
        <w:t xml:space="preserve">People living with type 2 diabetes experience double the risk of incident sepsis. Modifiable risk factors include smoking and </w:t>
      </w:r>
      <w:proofErr w:type="spellStart"/>
      <w:r w:rsidRPr="00A4645B">
        <w:rPr>
          <w:rFonts w:ascii="Arial" w:hAnsi="Arial" w:cs="Arial"/>
          <w:kern w:val="2"/>
          <w:lang w:val="en-US"/>
          <w14:ligatures w14:val="standardContextual"/>
        </w:rPr>
        <w:t>hyperglycaemia</w:t>
      </w:r>
      <w:proofErr w:type="spellEnd"/>
      <w:r w:rsidRPr="00A4645B">
        <w:rPr>
          <w:rFonts w:ascii="Arial" w:hAnsi="Arial" w:cs="Arial"/>
          <w:kern w:val="2"/>
          <w:lang w:val="en-US"/>
          <w14:ligatures w14:val="standardContextual"/>
        </w:rPr>
        <w:t>, but prevention of chronic complications is also imperative.</w:t>
      </w:r>
    </w:p>
    <w:p w14:paraId="0E910A7D" w14:textId="51267ECB" w:rsidR="00D63C82" w:rsidRPr="00D63C82" w:rsidRDefault="00D63C82" w:rsidP="00D63C82">
      <w:pPr>
        <w:spacing w:after="160" w:line="278" w:lineRule="auto"/>
        <w:rPr>
          <w:rFonts w:ascii="Arial" w:hAnsi="Arial" w:cs="Arial"/>
          <w:kern w:val="2"/>
          <w:lang w:val="en-US"/>
          <w14:ligatures w14:val="standardContextual"/>
        </w:rPr>
      </w:pPr>
    </w:p>
    <w:p w14:paraId="4C7184D4" w14:textId="77777777" w:rsidR="00D63C82" w:rsidRPr="00D63C82" w:rsidRDefault="00D63C82" w:rsidP="00D63C82">
      <w:pPr>
        <w:spacing w:after="160" w:line="278" w:lineRule="auto"/>
        <w:rPr>
          <w:rFonts w:ascii="Arial" w:hAnsi="Arial" w:cs="Arial"/>
          <w:kern w:val="2"/>
          <w:lang w:val="en-US"/>
          <w14:ligatures w14:val="standardContextual"/>
        </w:rPr>
      </w:pPr>
    </w:p>
    <w:p w14:paraId="0EFF133E" w14:textId="77777777" w:rsidR="008427FA" w:rsidRPr="00D63C82" w:rsidRDefault="008427FA" w:rsidP="008427FA">
      <w:pPr>
        <w:rPr>
          <w:rFonts w:ascii="Arial" w:hAnsi="Arial" w:cs="Arial"/>
        </w:rPr>
      </w:pPr>
    </w:p>
    <w:p w14:paraId="6A91FA94" w14:textId="77777777" w:rsidR="008427FA" w:rsidRPr="00D63C82" w:rsidRDefault="008427FA"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2F372E"/>
    <w:rsid w:val="0034113B"/>
    <w:rsid w:val="00376B39"/>
    <w:rsid w:val="003F6F83"/>
    <w:rsid w:val="004E09DD"/>
    <w:rsid w:val="00585923"/>
    <w:rsid w:val="00627A98"/>
    <w:rsid w:val="007244F0"/>
    <w:rsid w:val="00830A4D"/>
    <w:rsid w:val="008427FA"/>
    <w:rsid w:val="008953CF"/>
    <w:rsid w:val="00933050"/>
    <w:rsid w:val="009A582D"/>
    <w:rsid w:val="009D79DB"/>
    <w:rsid w:val="00A205D7"/>
    <w:rsid w:val="00A85759"/>
    <w:rsid w:val="00BC73E4"/>
    <w:rsid w:val="00D56368"/>
    <w:rsid w:val="00D63C82"/>
    <w:rsid w:val="00DD0D64"/>
    <w:rsid w:val="00EA6405"/>
    <w:rsid w:val="00EB6B65"/>
    <w:rsid w:val="00F52E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A207-2362-4A22-A848-C50C756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4923A75C-1975-427D-8B94-CB026F9B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Hamilton, Emma Jane</cp:lastModifiedBy>
  <cp:revision>2</cp:revision>
  <dcterms:created xsi:type="dcterms:W3CDTF">2025-05-19T03:30:00Z</dcterms:created>
  <dcterms:modified xsi:type="dcterms:W3CDTF">2025-05-19T03:30:00Z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