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EA4892E" w:rsidR="002B7FC8" w:rsidRPr="005B17D4" w:rsidRDefault="00816262" w:rsidP="002E73AD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B17D4">
              <w:rPr>
                <w:rFonts w:ascii="Arial" w:hAnsi="Arial" w:cs="Arial"/>
                <w:b/>
                <w:sz w:val="22"/>
                <w:szCs w:val="22"/>
              </w:rPr>
              <w:t>Together for Equality &amp; Respect – a region wide framework for</w:t>
            </w:r>
            <w:r w:rsidR="00E22C2B" w:rsidRPr="005B17D4">
              <w:rPr>
                <w:rFonts w:ascii="Arial" w:hAnsi="Arial" w:cs="Arial"/>
                <w:b/>
                <w:sz w:val="22"/>
                <w:szCs w:val="22"/>
              </w:rPr>
              <w:t xml:space="preserve"> advancing gender equality in order </w:t>
            </w:r>
            <w:proofErr w:type="gramStart"/>
            <w:r w:rsidR="00E22C2B" w:rsidRPr="005B17D4">
              <w:rPr>
                <w:rFonts w:ascii="Arial" w:hAnsi="Arial" w:cs="Arial"/>
                <w:b/>
                <w:sz w:val="22"/>
                <w:szCs w:val="22"/>
              </w:rPr>
              <w:t xml:space="preserve">to </w:t>
            </w:r>
            <w:r w:rsidRPr="005B17D4">
              <w:rPr>
                <w:rFonts w:ascii="Arial" w:hAnsi="Arial" w:cs="Arial"/>
                <w:b/>
                <w:sz w:val="22"/>
                <w:szCs w:val="22"/>
              </w:rPr>
              <w:t xml:space="preserve"> prevent</w:t>
            </w:r>
            <w:proofErr w:type="gramEnd"/>
            <w:r w:rsidR="00E22C2B" w:rsidRPr="005B17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7D4">
              <w:rPr>
                <w:rFonts w:ascii="Arial" w:hAnsi="Arial" w:cs="Arial"/>
                <w:b/>
                <w:sz w:val="22"/>
                <w:szCs w:val="22"/>
              </w:rPr>
              <w:t xml:space="preserve"> violence against women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5" w14:textId="29937C2A" w:rsidR="00DA7A71" w:rsidRDefault="0085276D" w:rsidP="00E36AD7">
            <w:pPr>
              <w:jc w:val="both"/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</w:pPr>
            <w:r w:rsidRPr="0085276D">
              <w:rPr>
                <w:rFonts w:ascii="Arial" w:hAnsi="Arial" w:cs="Arial"/>
                <w:sz w:val="22"/>
                <w:szCs w:val="22"/>
              </w:rPr>
              <w:t xml:space="preserve">Together for Equality &amp; Respect (TFER) is a </w:t>
            </w:r>
            <w:r w:rsidR="00E00260">
              <w:rPr>
                <w:rFonts w:ascii="Arial" w:hAnsi="Arial" w:cs="Arial"/>
                <w:sz w:val="22"/>
                <w:szCs w:val="22"/>
              </w:rPr>
              <w:t>multi</w:t>
            </w:r>
            <w:r w:rsidR="00414122">
              <w:rPr>
                <w:rFonts w:ascii="Arial" w:hAnsi="Arial" w:cs="Arial"/>
                <w:sz w:val="22"/>
                <w:szCs w:val="22"/>
              </w:rPr>
              <w:t xml:space="preserve">sector, </w:t>
            </w:r>
            <w:r w:rsidR="006A0804">
              <w:rPr>
                <w:rFonts w:ascii="Arial" w:hAnsi="Arial" w:cs="Arial"/>
                <w:sz w:val="22"/>
                <w:szCs w:val="22"/>
              </w:rPr>
              <w:t xml:space="preserve">collaborative </w:t>
            </w:r>
            <w:r w:rsidRPr="0085276D">
              <w:rPr>
                <w:rFonts w:ascii="Arial" w:hAnsi="Arial" w:cs="Arial"/>
                <w:sz w:val="22"/>
                <w:szCs w:val="22"/>
              </w:rPr>
              <w:t xml:space="preserve">partnership of </w:t>
            </w:r>
            <w:r w:rsidR="00F73867" w:rsidRPr="007E5C3F">
              <w:rPr>
                <w:rFonts w:ascii="Arial" w:hAnsi="Arial" w:cs="Arial"/>
                <w:sz w:val="22"/>
                <w:szCs w:val="22"/>
              </w:rPr>
              <w:t>3</w:t>
            </w:r>
            <w:r w:rsidR="00D006BD">
              <w:rPr>
                <w:rFonts w:ascii="Arial" w:hAnsi="Arial" w:cs="Arial"/>
                <w:sz w:val="22"/>
                <w:szCs w:val="22"/>
              </w:rPr>
              <w:t xml:space="preserve">5+ </w:t>
            </w:r>
            <w:r w:rsidRPr="007E5C3F">
              <w:rPr>
                <w:rFonts w:ascii="Arial" w:hAnsi="Arial" w:cs="Arial"/>
                <w:sz w:val="22"/>
                <w:szCs w:val="22"/>
              </w:rPr>
              <w:t>organisations,</w:t>
            </w:r>
            <w:r w:rsidR="00D006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76D">
              <w:rPr>
                <w:rFonts w:ascii="Arial" w:hAnsi="Arial" w:cs="Arial"/>
                <w:sz w:val="22"/>
                <w:szCs w:val="22"/>
              </w:rPr>
              <w:t>working to e</w:t>
            </w:r>
            <w:r w:rsidR="006322EE">
              <w:rPr>
                <w:rFonts w:ascii="Arial" w:hAnsi="Arial" w:cs="Arial"/>
                <w:sz w:val="22"/>
                <w:szCs w:val="22"/>
              </w:rPr>
              <w:t>nd men’s violence against women</w:t>
            </w:r>
            <w:r w:rsidR="00E00260">
              <w:rPr>
                <w:rFonts w:ascii="Arial" w:hAnsi="Arial" w:cs="Arial"/>
                <w:sz w:val="22"/>
                <w:szCs w:val="22"/>
              </w:rPr>
              <w:t xml:space="preserve"> (VAW)</w:t>
            </w:r>
            <w:r w:rsidR="006322EE">
              <w:rPr>
                <w:rFonts w:ascii="Arial" w:hAnsi="Arial" w:cs="Arial"/>
                <w:sz w:val="22"/>
                <w:szCs w:val="22"/>
              </w:rPr>
              <w:t>,</w:t>
            </w:r>
            <w:r w:rsidRPr="008527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7C1">
              <w:rPr>
                <w:rFonts w:ascii="Arial" w:hAnsi="Arial" w:cs="Arial"/>
                <w:sz w:val="22"/>
                <w:szCs w:val="22"/>
                <w:lang w:eastAsia="en-AU"/>
              </w:rPr>
              <w:t xml:space="preserve">across </w:t>
            </w:r>
            <w:r w:rsidR="007E5C3F">
              <w:rPr>
                <w:rFonts w:ascii="Arial" w:hAnsi="Arial" w:cs="Arial"/>
                <w:sz w:val="22"/>
                <w:szCs w:val="22"/>
                <w:lang w:eastAsia="en-AU"/>
              </w:rPr>
              <w:t>7</w:t>
            </w:r>
            <w:r w:rsidR="001837C1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E00260">
              <w:rPr>
                <w:rFonts w:ascii="Arial" w:hAnsi="Arial" w:cs="Arial"/>
                <w:sz w:val="22"/>
                <w:szCs w:val="22"/>
                <w:lang w:eastAsia="en-AU"/>
              </w:rPr>
              <w:t>municipalities in</w:t>
            </w:r>
            <w:r w:rsidRPr="0085276D">
              <w:rPr>
                <w:rFonts w:ascii="Arial" w:hAnsi="Arial" w:cs="Arial"/>
                <w:sz w:val="22"/>
                <w:szCs w:val="22"/>
                <w:lang w:eastAsia="en-AU"/>
              </w:rPr>
              <w:t xml:space="preserve"> Melbourne</w:t>
            </w:r>
            <w:r w:rsidR="006322EE">
              <w:rPr>
                <w:rFonts w:ascii="Arial" w:hAnsi="Arial" w:cs="Arial"/>
                <w:sz w:val="22"/>
                <w:szCs w:val="22"/>
                <w:lang w:eastAsia="en-AU"/>
              </w:rPr>
              <w:t>’s East.</w:t>
            </w:r>
          </w:p>
          <w:p w14:paraId="132AFFDD" w14:textId="77777777" w:rsidR="008B3293" w:rsidRPr="00B2544E" w:rsidRDefault="008B3293" w:rsidP="00E36AD7">
            <w:pPr>
              <w:jc w:val="both"/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</w:pPr>
          </w:p>
          <w:p w14:paraId="3819B9D0" w14:textId="2DAEFEBB" w:rsidR="00346535" w:rsidRDefault="00E00260" w:rsidP="00B2544E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</w:pPr>
            <w:r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VAW</w:t>
            </w:r>
            <w:r w:rsidR="00B2544E" w:rsidRPr="00B2544E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</w:t>
            </w:r>
            <w:r w:rsidR="007E5C3F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is</w:t>
            </w:r>
            <w:r w:rsidR="00B2544E" w:rsidRPr="00B2544E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one of the most serious and pervasive issues affecting women, families, communities and society.</w:t>
            </w:r>
            <w:r w:rsidR="00EF690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</w:t>
            </w:r>
            <w:r w:rsidR="00B2544E" w:rsidRPr="00B2544E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In Australia, over half of</w:t>
            </w:r>
            <w:r w:rsidR="00B2544E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</w:t>
            </w:r>
            <w:r w:rsidR="00B2544E" w:rsidRPr="00B2544E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all women have experienced at least one incident of physical or sexual violence in their lifetime.</w:t>
            </w:r>
            <w:r w:rsidR="00EF690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</w:t>
            </w:r>
            <w:r w:rsidR="00EF6905" w:rsidRPr="00EF690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Violence </w:t>
            </w:r>
            <w:r w:rsidR="0034653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by an intimate partner</w:t>
            </w:r>
            <w:r w:rsidR="00EF6905" w:rsidRPr="00EF690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is the leading contributor to death, disability and ill-health</w:t>
            </w:r>
            <w:r w:rsidR="00EF690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for women aged 18–44</w:t>
            </w:r>
            <w:r w:rsidR="00F73867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.</w:t>
            </w:r>
          </w:p>
          <w:p w14:paraId="1268E10F" w14:textId="77777777" w:rsidR="00346535" w:rsidRDefault="00346535" w:rsidP="00B2544E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</w:pPr>
          </w:p>
          <w:p w14:paraId="268DEB47" w14:textId="4240959E" w:rsidR="00346535" w:rsidRPr="00B2544E" w:rsidRDefault="00E00260" w:rsidP="00B254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VAW is preventable. </w:t>
            </w:r>
            <w:r w:rsidR="00F73867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G</w:t>
            </w:r>
            <w:r w:rsidR="0034653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lobal evidence</w:t>
            </w:r>
            <w:r w:rsidR="00F73867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shows that</w:t>
            </w:r>
            <w:r w:rsidR="0034653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</w:t>
            </w:r>
            <w:r w:rsidR="007E5C3F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gender inequality is </w:t>
            </w:r>
            <w:r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a</w:t>
            </w:r>
            <w:r w:rsidR="0034653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key driver of </w:t>
            </w:r>
            <w:r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VAW</w:t>
            </w:r>
            <w:r w:rsidR="0034653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.</w:t>
            </w:r>
            <w:r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</w:t>
            </w:r>
            <w:r w:rsidR="006322EE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To end this violence</w:t>
            </w:r>
            <w:r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,</w:t>
            </w:r>
            <w:r w:rsidR="0034653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 </w:t>
            </w:r>
            <w:r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 xml:space="preserve">TFER aims to achieve </w:t>
            </w:r>
            <w:r w:rsidR="00346535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a long term, whole of population approach</w:t>
            </w:r>
            <w:r w:rsidR="00494161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, with mutually reinforcing action across all levels of society</w:t>
            </w:r>
            <w:r w:rsidR="00E22C2B">
              <w:rPr>
                <w:rFonts w:ascii="Arial" w:hAnsi="Arial" w:cs="Arial"/>
                <w:color w:val="1A1A1A"/>
                <w:sz w:val="22"/>
                <w:szCs w:val="22"/>
                <w:lang w:val="en-AU" w:eastAsia="en-NZ"/>
              </w:rPr>
              <w:t>.</w:t>
            </w: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4C46BD93" w14:textId="41AF00F3" w:rsidR="006A0804" w:rsidRDefault="006A0804" w:rsidP="002B1EDF">
            <w:pPr>
              <w:rPr>
                <w:rFonts w:ascii="Arial" w:hAnsi="Arial" w:cs="Arial"/>
                <w:sz w:val="22"/>
                <w:szCs w:val="22"/>
              </w:rPr>
            </w:pPr>
            <w:r w:rsidRPr="006A0804">
              <w:rPr>
                <w:rFonts w:ascii="Arial" w:hAnsi="Arial" w:cs="Arial"/>
                <w:sz w:val="22"/>
                <w:szCs w:val="22"/>
              </w:rPr>
              <w:t xml:space="preserve">TFER has taken a Collective Impact approach to the prevention of </w:t>
            </w:r>
            <w:r w:rsidR="00E00260">
              <w:rPr>
                <w:rFonts w:ascii="Arial" w:hAnsi="Arial" w:cs="Arial"/>
                <w:sz w:val="22"/>
                <w:szCs w:val="22"/>
              </w:rPr>
              <w:t>VAW</w:t>
            </w:r>
            <w:r w:rsidRPr="006A0804">
              <w:rPr>
                <w:rFonts w:ascii="Arial" w:hAnsi="Arial" w:cs="Arial"/>
                <w:sz w:val="22"/>
                <w:szCs w:val="22"/>
              </w:rPr>
              <w:t xml:space="preserve"> since its inception in 201</w:t>
            </w:r>
            <w:r w:rsidR="00FF0895">
              <w:rPr>
                <w:rFonts w:ascii="Arial" w:hAnsi="Arial" w:cs="Arial"/>
                <w:sz w:val="22"/>
                <w:szCs w:val="22"/>
              </w:rPr>
              <w:t>2</w:t>
            </w:r>
            <w:r w:rsidRPr="006A0804">
              <w:rPr>
                <w:rFonts w:ascii="Arial" w:hAnsi="Arial" w:cs="Arial"/>
                <w:sz w:val="22"/>
                <w:szCs w:val="22"/>
              </w:rPr>
              <w:t>.</w:t>
            </w:r>
            <w:r w:rsidR="00FF089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837C1"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7E5C3F">
              <w:rPr>
                <w:rFonts w:ascii="Arial" w:hAnsi="Arial" w:cs="Arial"/>
                <w:sz w:val="22"/>
                <w:szCs w:val="22"/>
              </w:rPr>
              <w:t>4</w:t>
            </w:r>
            <w:r w:rsidR="00FF0895">
              <w:rPr>
                <w:rFonts w:ascii="Arial" w:hAnsi="Arial" w:cs="Arial"/>
                <w:sz w:val="22"/>
                <w:szCs w:val="22"/>
              </w:rPr>
              <w:t xml:space="preserve"> year TFER Strategy</w:t>
            </w:r>
            <w:r w:rsidR="001837C1">
              <w:rPr>
                <w:rFonts w:ascii="Arial" w:hAnsi="Arial" w:cs="Arial"/>
                <w:sz w:val="22"/>
                <w:szCs w:val="22"/>
              </w:rPr>
              <w:t>,</w:t>
            </w:r>
            <w:r w:rsidR="00FF0895">
              <w:rPr>
                <w:rFonts w:ascii="Arial" w:hAnsi="Arial" w:cs="Arial"/>
                <w:sz w:val="22"/>
                <w:szCs w:val="22"/>
              </w:rPr>
              <w:t xml:space="preserve"> Action Plan, and evaluation f</w:t>
            </w:r>
            <w:r w:rsidR="00E00260">
              <w:rPr>
                <w:rFonts w:ascii="Arial" w:hAnsi="Arial" w:cs="Arial"/>
                <w:sz w:val="22"/>
                <w:szCs w:val="22"/>
              </w:rPr>
              <w:t>ramework were released in 2013.</w:t>
            </w:r>
            <w:r w:rsidR="00FF0895">
              <w:rPr>
                <w:rFonts w:ascii="Arial" w:hAnsi="Arial" w:cs="Arial"/>
                <w:sz w:val="22"/>
                <w:szCs w:val="22"/>
              </w:rPr>
              <w:t xml:space="preserve">In 2017 TFER partners committed to a second </w:t>
            </w:r>
            <w:r w:rsidR="007E5C3F">
              <w:rPr>
                <w:rFonts w:ascii="Arial" w:hAnsi="Arial" w:cs="Arial"/>
                <w:sz w:val="22"/>
                <w:szCs w:val="22"/>
              </w:rPr>
              <w:t>4</w:t>
            </w:r>
            <w:r w:rsidR="00E00260">
              <w:rPr>
                <w:rFonts w:ascii="Arial" w:hAnsi="Arial" w:cs="Arial"/>
                <w:sz w:val="22"/>
                <w:szCs w:val="22"/>
              </w:rPr>
              <w:t xml:space="preserve"> years of working together.</w:t>
            </w:r>
          </w:p>
          <w:p w14:paraId="3024130A" w14:textId="77777777" w:rsidR="002B1EDF" w:rsidRDefault="002B1EDF" w:rsidP="002B1E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A" w14:textId="388EF0E2" w:rsidR="00DA7A71" w:rsidRPr="00426654" w:rsidRDefault="00FF0895" w:rsidP="002B1EDF">
            <w:pPr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Working to </w:t>
            </w:r>
            <w:r w:rsidR="00E22C2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shared vision, objectives, evaluation framework and tools, </w:t>
            </w:r>
            <w:r w:rsidR="0085276D" w:rsidRPr="008527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TFER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provides</w:t>
            </w:r>
            <w:r w:rsidR="0085276D" w:rsidRPr="008527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 platform for organisations to </w:t>
            </w:r>
            <w:r w:rsidR="00F7386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work together</w:t>
            </w:r>
            <w:r w:rsidR="0081626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</w:t>
            </w:r>
            <w:r w:rsidR="0085276D" w:rsidRPr="008527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build intersectional practice, share </w:t>
            </w:r>
            <w:r w:rsidR="006322E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expertise</w:t>
            </w:r>
            <w:r w:rsidR="0085276D" w:rsidRPr="008527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and resources</w:t>
            </w:r>
            <w:r w:rsidR="006322E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to</w:t>
            </w:r>
            <w:r w:rsidR="0085276D" w:rsidRPr="008527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D006B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advance</w:t>
            </w:r>
            <w:r w:rsidR="0085276D" w:rsidRPr="008527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F7386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gender equality</w:t>
            </w:r>
            <w:r w:rsidR="0085276D" w:rsidRPr="008527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  <w:p w14:paraId="770B85F0" w14:textId="77777777" w:rsidR="00426654" w:rsidRDefault="00426654" w:rsidP="002B1E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6789423E" w:rsidR="00DA7A71" w:rsidRDefault="00F73867" w:rsidP="002B1ED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Women’s Health East is the</w:t>
            </w:r>
            <w:r w:rsidR="002239B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‘backbone’ organisation and </w:t>
            </w:r>
            <w:bookmarkStart w:id="0" w:name="_GoBack"/>
            <w:bookmarkEnd w:id="0"/>
            <w:r w:rsidR="002239B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provides leadership,</w:t>
            </w:r>
            <w:r w:rsidR="00FF089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coordination and</w:t>
            </w:r>
            <w:r w:rsidR="002239B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FF089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expertise to the partnership. Women’s Health East provides a range of capacity building activities to support the TFER workforce.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0473F655" w14:textId="77777777" w:rsidR="007E5C3F" w:rsidRDefault="00816262" w:rsidP="007E5C3F">
            <w:pPr>
              <w:jc w:val="both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Using a collective impact and developmental evaluation approach, the </w:t>
            </w:r>
            <w:r w:rsidR="00494161" w:rsidRPr="00FF0895">
              <w:rPr>
                <w:rFonts w:ascii="Arial" w:hAnsi="Arial" w:cs="Arial"/>
                <w:sz w:val="22"/>
                <w:szCs w:val="22"/>
              </w:rPr>
              <w:t xml:space="preserve">TFER Strategy 2013-2017 has been </w:t>
            </w:r>
            <w:r w:rsidR="00935605">
              <w:rPr>
                <w:rFonts w:ascii="Arial" w:hAnsi="Arial" w:cs="Arial"/>
                <w:sz w:val="22"/>
                <w:szCs w:val="22"/>
              </w:rPr>
              <w:t>rigorously evaluated. F</w:t>
            </w:r>
            <w:r w:rsidR="00494161" w:rsidRPr="00FF0895">
              <w:rPr>
                <w:rFonts w:ascii="Arial" w:hAnsi="Arial" w:cs="Arial"/>
                <w:sz w:val="22"/>
                <w:szCs w:val="22"/>
              </w:rPr>
              <w:t>indings include</w:t>
            </w:r>
            <w:r w:rsidR="0085276D" w:rsidRPr="00FF0895">
              <w:rPr>
                <w:rFonts w:ascii="Arial" w:hAnsi="Arial" w:cs="Arial"/>
                <w:sz w:val="22"/>
                <w:szCs w:val="22"/>
                <w:lang w:val="en-AU" w:eastAsia="en-AU"/>
              </w:rPr>
              <w:t>:</w:t>
            </w:r>
          </w:p>
          <w:p w14:paraId="176A675E" w14:textId="17BF31EC" w:rsidR="0085276D" w:rsidRPr="007E5C3F" w:rsidRDefault="0085276D" w:rsidP="007E5C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7E5C3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100% of Partners </w:t>
            </w:r>
            <w:r w:rsidR="00935605" w:rsidRPr="007E5C3F">
              <w:rPr>
                <w:rFonts w:ascii="Arial" w:hAnsi="Arial" w:cs="Arial"/>
                <w:sz w:val="22"/>
                <w:szCs w:val="22"/>
                <w:lang w:val="en-AU" w:eastAsia="en-AU"/>
              </w:rPr>
              <w:t>attribute</w:t>
            </w:r>
            <w:r w:rsidRPr="007E5C3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</w:t>
            </w:r>
            <w:r w:rsidR="00935605" w:rsidRPr="007E5C3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TFER </w:t>
            </w:r>
            <w:r w:rsidRPr="007E5C3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membership </w:t>
            </w:r>
            <w:r w:rsidR="00935605" w:rsidRPr="007E5C3F">
              <w:rPr>
                <w:rFonts w:ascii="Arial" w:hAnsi="Arial" w:cs="Arial"/>
                <w:sz w:val="22"/>
                <w:szCs w:val="22"/>
                <w:lang w:val="en-AU" w:eastAsia="en-AU"/>
              </w:rPr>
              <w:t>to</w:t>
            </w:r>
            <w:r w:rsidRPr="007E5C3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amplified PVAW outcomes, and </w:t>
            </w:r>
            <w:r w:rsidR="00935605" w:rsidRPr="007E5C3F">
              <w:rPr>
                <w:rFonts w:ascii="Arial" w:hAnsi="Arial" w:cs="Arial"/>
                <w:sz w:val="22"/>
                <w:szCs w:val="22"/>
                <w:lang w:val="en-AU" w:eastAsia="en-AU"/>
              </w:rPr>
              <w:t>increased capacity to prevent</w:t>
            </w:r>
            <w:r w:rsidRPr="007E5C3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</w:t>
            </w:r>
            <w:r w:rsidR="00816262" w:rsidRPr="007E5C3F">
              <w:rPr>
                <w:rFonts w:ascii="Arial" w:hAnsi="Arial" w:cs="Arial"/>
                <w:sz w:val="22"/>
                <w:szCs w:val="22"/>
                <w:lang w:val="en-AU" w:eastAsia="en-AU"/>
              </w:rPr>
              <w:t>violence</w:t>
            </w:r>
          </w:p>
          <w:p w14:paraId="0FDBBE1B" w14:textId="68AF5C2E" w:rsidR="00935605" w:rsidRPr="00D006BD" w:rsidRDefault="00935605" w:rsidP="00D006BD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>374,000 people were reached by TFER activities (</w:t>
            </w:r>
            <w:proofErr w:type="spellStart"/>
            <w:r w:rsidRP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>approx</w:t>
            </w:r>
            <w:proofErr w:type="spellEnd"/>
            <w:r w:rsidRP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</w:t>
            </w:r>
            <w:r w:rsidR="00D006BD" w:rsidRP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>1/3</w:t>
            </w:r>
            <w:r w:rsidRP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of the population)</w:t>
            </w:r>
          </w:p>
          <w:p w14:paraId="31E86B77" w14:textId="2A7042AE" w:rsidR="00935605" w:rsidRPr="00D006BD" w:rsidRDefault="00935605" w:rsidP="00935605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>53% of TFER Partners identified engagement with diverse communities</w:t>
            </w:r>
          </w:p>
          <w:p w14:paraId="1E11931B" w14:textId="248358BE" w:rsidR="00D006BD" w:rsidRPr="00D006BD" w:rsidRDefault="00D006BD" w:rsidP="00D006BD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>80% of organisational leaders demonstrated a commitment to and leadership on gender issues</w:t>
            </w:r>
          </w:p>
          <w:p w14:paraId="73CC4C41" w14:textId="73BF31EE" w:rsidR="00935605" w:rsidRPr="00D006BD" w:rsidRDefault="00935605" w:rsidP="00935605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>70% had a written commitment to workplace gender equity</w:t>
            </w:r>
          </w:p>
          <w:p w14:paraId="7F964B93" w14:textId="4C2BDF27" w:rsidR="00935605" w:rsidRPr="00D006BD" w:rsidRDefault="00935605" w:rsidP="00935605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100% of TFER </w:t>
            </w:r>
            <w:r w:rsid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PVAW workers </w:t>
            </w:r>
            <w:r w:rsidRP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>attended c</w:t>
            </w:r>
            <w:r w:rsidR="00D006BD">
              <w:rPr>
                <w:rFonts w:ascii="Arial" w:hAnsi="Arial" w:cs="Arial"/>
                <w:sz w:val="22"/>
                <w:szCs w:val="22"/>
                <w:lang w:val="en-AU" w:eastAsia="en-AU"/>
              </w:rPr>
              <w:t>apacity building opportunities</w:t>
            </w:r>
          </w:p>
          <w:p w14:paraId="089DEF63" w14:textId="2DF56954" w:rsidR="004B7D91" w:rsidRPr="00D006BD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bookmarkStart w:id="1" w:name="_Objective_6:_From"/>
            <w:bookmarkEnd w:id="1"/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5C164056" w:rsidR="00C978A6" w:rsidRPr="00FF0895" w:rsidRDefault="00FF089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TFER provides a framework for implementing effective, collaborative action for the prevention of </w:t>
            </w:r>
            <w:r w:rsidR="00E00260">
              <w:rPr>
                <w:rFonts w:ascii="Arial" w:hAnsi="Arial" w:cs="Arial"/>
                <w:sz w:val="22"/>
                <w:szCs w:val="22"/>
              </w:rPr>
              <w:t xml:space="preserve">VAW over a large region. </w:t>
            </w:r>
            <w:r>
              <w:rPr>
                <w:rFonts w:ascii="Arial" w:hAnsi="Arial" w:cs="Arial"/>
                <w:sz w:val="22"/>
                <w:szCs w:val="22"/>
              </w:rPr>
              <w:t xml:space="preserve">Learnings can help to inform others working in this burgeoning area of public health. 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792F7862" w:rsidR="00DA7A71" w:rsidRPr="002E73AD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2B1E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31965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</w:tr>
    </w:tbl>
    <w:p w14:paraId="5A4DE265" w14:textId="4C2C1C75" w:rsidR="00490208" w:rsidRDefault="00490208" w:rsidP="004C45A1"/>
    <w:sectPr w:rsidR="00490208" w:rsidSect="002E73AD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1E52"/>
    <w:multiLevelType w:val="hybridMultilevel"/>
    <w:tmpl w:val="DB1C6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625D"/>
    <w:multiLevelType w:val="hybridMultilevel"/>
    <w:tmpl w:val="E30E3224"/>
    <w:lvl w:ilvl="0" w:tplc="65CA5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12BD5"/>
    <w:multiLevelType w:val="hybridMultilevel"/>
    <w:tmpl w:val="C0BEC0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80C5E"/>
    <w:multiLevelType w:val="hybridMultilevel"/>
    <w:tmpl w:val="54A25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553BD7"/>
    <w:multiLevelType w:val="hybridMultilevel"/>
    <w:tmpl w:val="AEB6313E"/>
    <w:lvl w:ilvl="0" w:tplc="0409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5" w15:restartNumberingAfterBreak="0">
    <w:nsid w:val="4476278A"/>
    <w:multiLevelType w:val="hybridMultilevel"/>
    <w:tmpl w:val="4AFAD7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92659"/>
    <w:rsid w:val="000C05CE"/>
    <w:rsid w:val="000E7814"/>
    <w:rsid w:val="00131D1E"/>
    <w:rsid w:val="001837C1"/>
    <w:rsid w:val="001C3A37"/>
    <w:rsid w:val="00211765"/>
    <w:rsid w:val="002239BE"/>
    <w:rsid w:val="00230B21"/>
    <w:rsid w:val="00242808"/>
    <w:rsid w:val="0025023F"/>
    <w:rsid w:val="00294265"/>
    <w:rsid w:val="002B1EDF"/>
    <w:rsid w:val="002B7FC8"/>
    <w:rsid w:val="002C48DF"/>
    <w:rsid w:val="002E73AD"/>
    <w:rsid w:val="002F34DB"/>
    <w:rsid w:val="00317FFE"/>
    <w:rsid w:val="00331965"/>
    <w:rsid w:val="00346535"/>
    <w:rsid w:val="00363AF7"/>
    <w:rsid w:val="003A6236"/>
    <w:rsid w:val="003B15A7"/>
    <w:rsid w:val="003F596D"/>
    <w:rsid w:val="00414122"/>
    <w:rsid w:val="00426654"/>
    <w:rsid w:val="00447EF4"/>
    <w:rsid w:val="00490208"/>
    <w:rsid w:val="00494161"/>
    <w:rsid w:val="004B5B95"/>
    <w:rsid w:val="004B7D91"/>
    <w:rsid w:val="004C45A1"/>
    <w:rsid w:val="004E345D"/>
    <w:rsid w:val="00564331"/>
    <w:rsid w:val="00590824"/>
    <w:rsid w:val="005B17D4"/>
    <w:rsid w:val="005F7DC7"/>
    <w:rsid w:val="006322EE"/>
    <w:rsid w:val="006605DB"/>
    <w:rsid w:val="00663BFF"/>
    <w:rsid w:val="006A0804"/>
    <w:rsid w:val="006C6E32"/>
    <w:rsid w:val="0070252B"/>
    <w:rsid w:val="00714C46"/>
    <w:rsid w:val="007A2A9C"/>
    <w:rsid w:val="007E5C3F"/>
    <w:rsid w:val="007E61BA"/>
    <w:rsid w:val="00816262"/>
    <w:rsid w:val="0082392D"/>
    <w:rsid w:val="0085276D"/>
    <w:rsid w:val="008874BF"/>
    <w:rsid w:val="008B3293"/>
    <w:rsid w:val="008C05AC"/>
    <w:rsid w:val="00907819"/>
    <w:rsid w:val="00932377"/>
    <w:rsid w:val="00935605"/>
    <w:rsid w:val="009579B1"/>
    <w:rsid w:val="0097261B"/>
    <w:rsid w:val="00994DCB"/>
    <w:rsid w:val="009B7881"/>
    <w:rsid w:val="009C7B98"/>
    <w:rsid w:val="00A112C8"/>
    <w:rsid w:val="00A1780F"/>
    <w:rsid w:val="00A343E6"/>
    <w:rsid w:val="00A5633B"/>
    <w:rsid w:val="00AA1598"/>
    <w:rsid w:val="00AA5B46"/>
    <w:rsid w:val="00AB42C9"/>
    <w:rsid w:val="00B12CD1"/>
    <w:rsid w:val="00B20967"/>
    <w:rsid w:val="00B2544E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006BD"/>
    <w:rsid w:val="00D71EFE"/>
    <w:rsid w:val="00D84751"/>
    <w:rsid w:val="00DA45EE"/>
    <w:rsid w:val="00DA7A71"/>
    <w:rsid w:val="00DC2C64"/>
    <w:rsid w:val="00DE6D44"/>
    <w:rsid w:val="00E00260"/>
    <w:rsid w:val="00E0479B"/>
    <w:rsid w:val="00E22C2B"/>
    <w:rsid w:val="00E36AD7"/>
    <w:rsid w:val="00E379B4"/>
    <w:rsid w:val="00E458B1"/>
    <w:rsid w:val="00EF6905"/>
    <w:rsid w:val="00F16B61"/>
    <w:rsid w:val="00F407AD"/>
    <w:rsid w:val="00F70D73"/>
    <w:rsid w:val="00F73867"/>
    <w:rsid w:val="00F86A0C"/>
    <w:rsid w:val="00FB626D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356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3560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terms/"/>
    <ds:schemaRef ds:uri="9c8a2b7b-0bee-4c48-b0a6-23db8982d3bc"/>
    <ds:schemaRef ds:uri="http://purl.org/dc/dcmitype/"/>
    <ds:schemaRef ds:uri="6911e96c-4cc4-42d5-8e43-f93924cf6a05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048BB46-EA1B-4A8A-A47E-2A7C39B22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0A14B-A84C-41DA-B800-BF86079A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2169</Characters>
  <Application>Microsoft Office Word</Application>
  <DocSecurity>4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2018-09-17T07:48:00Z</dcterms:created>
  <dcterms:modified xsi:type="dcterms:W3CDTF">2018-09-17T07:48:00Z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