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7D9B" w14:textId="2D6BC728" w:rsidR="008427FA" w:rsidRPr="004D443F" w:rsidRDefault="00564B95" w:rsidP="008427FA">
      <w:pPr>
        <w:rPr>
          <w:rFonts w:ascii="Arial" w:hAnsi="Arial" w:cs="Arial"/>
          <w:b/>
          <w:bCs/>
        </w:rPr>
      </w:pPr>
      <w:r w:rsidRPr="004D443F">
        <w:rPr>
          <w:rFonts w:ascii="Arial" w:hAnsi="Arial" w:cs="Arial"/>
          <w:b/>
          <w:bCs/>
        </w:rPr>
        <w:t>What comes after metformin? Shifts in patterns and predictors of diabetes drug utilisation in Australian adults</w:t>
      </w:r>
      <w:r w:rsidR="00477AC2">
        <w:rPr>
          <w:rFonts w:ascii="Arial" w:hAnsi="Arial" w:cs="Arial"/>
          <w:b/>
          <w:bCs/>
        </w:rPr>
        <w:t xml:space="preserve"> living with type 2 diabetes</w:t>
      </w:r>
      <w:r w:rsidRPr="004D443F">
        <w:rPr>
          <w:rFonts w:ascii="Arial" w:hAnsi="Arial" w:cs="Arial"/>
          <w:b/>
          <w:bCs/>
        </w:rPr>
        <w:t>, 2014–2024</w:t>
      </w:r>
    </w:p>
    <w:p w14:paraId="56262059" w14:textId="4CA618CF" w:rsidR="00564B95" w:rsidRPr="00FB79D6" w:rsidRDefault="00564B95" w:rsidP="00564B95">
      <w:pPr>
        <w:rPr>
          <w:rFonts w:ascii="Arial" w:hAnsi="Arial" w:cs="Arial"/>
          <w:b/>
          <w:bCs/>
        </w:rPr>
      </w:pPr>
      <w:r w:rsidRPr="00FB79D6">
        <w:rPr>
          <w:rFonts w:ascii="Arial" w:hAnsi="Arial" w:cs="Arial"/>
          <w:b/>
          <w:bCs/>
        </w:rPr>
        <w:t>Aims</w:t>
      </w:r>
    </w:p>
    <w:p w14:paraId="0FB3CD07" w14:textId="77777777" w:rsidR="00564B95" w:rsidRPr="00FB79D6" w:rsidRDefault="00564B95" w:rsidP="00564B95">
      <w:pPr>
        <w:rPr>
          <w:rFonts w:ascii="Arial" w:hAnsi="Arial" w:cs="Arial"/>
        </w:rPr>
      </w:pPr>
      <w:r w:rsidRPr="00FB79D6">
        <w:rPr>
          <w:rFonts w:ascii="Arial" w:hAnsi="Arial" w:cs="Arial"/>
        </w:rPr>
        <w:t>To describe post-metformin glucose-lowering drugs (GLDs) use, examine temporal changes in therapy, and identify predictors influencing treatment selection in Australia.</w:t>
      </w:r>
    </w:p>
    <w:p w14:paraId="7FCD3F16" w14:textId="77777777" w:rsidR="00564B95" w:rsidRPr="00FB79D6" w:rsidRDefault="00564B95" w:rsidP="00564B95">
      <w:pPr>
        <w:rPr>
          <w:rFonts w:ascii="Arial" w:hAnsi="Arial" w:cs="Arial"/>
          <w:b/>
          <w:bCs/>
        </w:rPr>
      </w:pPr>
      <w:r w:rsidRPr="00FB79D6">
        <w:rPr>
          <w:rFonts w:ascii="Arial" w:hAnsi="Arial" w:cs="Arial"/>
          <w:b/>
          <w:bCs/>
        </w:rPr>
        <w:t>Methods</w:t>
      </w:r>
    </w:p>
    <w:p w14:paraId="7FFA1C02" w14:textId="4977F0E6" w:rsidR="00564B95" w:rsidRPr="00FB79D6" w:rsidRDefault="00564B95" w:rsidP="00564B95">
      <w:pPr>
        <w:rPr>
          <w:rFonts w:ascii="Arial" w:hAnsi="Arial" w:cs="Arial"/>
        </w:rPr>
      </w:pPr>
      <w:r w:rsidRPr="00FB79D6">
        <w:rPr>
          <w:rFonts w:ascii="Arial" w:hAnsi="Arial" w:cs="Arial"/>
        </w:rPr>
        <w:t xml:space="preserve">Using a 10% sample of the Pharmaceutical Benefits Scheme, this population-based cohort study identified 69,857 people with T2D who initiated second GLDs following metformin in 2014-2024. Treatment transitions before and from 2020 </w:t>
      </w:r>
      <w:r w:rsidR="00371505">
        <w:rPr>
          <w:rFonts w:ascii="Arial" w:hAnsi="Arial" w:cs="Arial"/>
        </w:rPr>
        <w:t>are</w:t>
      </w:r>
      <w:r w:rsidRPr="00FB79D6">
        <w:rPr>
          <w:rFonts w:ascii="Arial" w:hAnsi="Arial" w:cs="Arial"/>
        </w:rPr>
        <w:t xml:space="preserve"> visualised with Sankey diagrams. Risk ratios (RRs) for second GLDs were calculated stratified by age, sex, concessional status, and comedication use. </w:t>
      </w:r>
    </w:p>
    <w:p w14:paraId="39118405" w14:textId="77777777" w:rsidR="00564B95" w:rsidRPr="00FB79D6" w:rsidRDefault="00564B95" w:rsidP="00564B95">
      <w:pPr>
        <w:rPr>
          <w:rFonts w:ascii="Arial" w:hAnsi="Arial" w:cs="Arial"/>
          <w:b/>
          <w:bCs/>
        </w:rPr>
      </w:pPr>
      <w:r w:rsidRPr="00FB79D6">
        <w:rPr>
          <w:rFonts w:ascii="Arial" w:hAnsi="Arial" w:cs="Arial"/>
          <w:b/>
          <w:bCs/>
        </w:rPr>
        <w:t>Results</w:t>
      </w:r>
    </w:p>
    <w:p w14:paraId="70028111" w14:textId="780EBDB9" w:rsidR="00564B95" w:rsidRPr="00FB79D6" w:rsidRDefault="00564B95" w:rsidP="00564B95">
      <w:pPr>
        <w:rPr>
          <w:rFonts w:ascii="Arial" w:hAnsi="Arial" w:cs="Arial"/>
        </w:rPr>
      </w:pPr>
      <w:r w:rsidRPr="00FB79D6">
        <w:rPr>
          <w:rFonts w:ascii="Arial" w:hAnsi="Arial" w:cs="Arial"/>
        </w:rPr>
        <w:t>Among 176,463 metformin users, 31,537 and 38,320 initiated second GLDs before and from 2020, respectively. Mean age was 60 years, 40% were female, less than half held concessional status, and 30% used lipid-lowering, gastrointestinal, antihypertensive and antidepressant therapies in both periods. Treatment shifted markedly: DPP-4 inhibitor use declined from 53% to 18% and SUs from 34% to 11%, while SGLT-2i (48% in 2024) and GLP-1 RAs (22% in 2024) became the predominant GLD therapies post-metformin, with declining insulin use. Age ≥ 40 years were more likely to initiate DPP-4 inhibitor and SUs, whereas younger people more commonly initiated GLP-1 RAs and insulin. Females had higher GLP-1 RA initiation (RR=1.77, [95%CI 1.52 - 2.06] before 2020 and RR=1.63, [95%CI 1.56 - 1.69] from 2020). From 2020, predictors of SGLT2i included age ≥ 40 years (RR=1.18, [95%CI 1.11 - 1.25] for ages 40-59 vs 18-39 years), male sex (RR=0.79, [95%CI 0.77 – 0.81] for female vs male), and congestive heart failure (RR=1.19, [95%CI 1.13 -1.25]). Sensitivity analyses confirmed these findings.</w:t>
      </w:r>
    </w:p>
    <w:p w14:paraId="2B1E4D6E" w14:textId="77777777" w:rsidR="00564B95" w:rsidRPr="00FB79D6" w:rsidRDefault="00564B95" w:rsidP="00564B95">
      <w:pPr>
        <w:rPr>
          <w:rFonts w:ascii="Arial" w:hAnsi="Arial" w:cs="Arial"/>
          <w:b/>
          <w:bCs/>
        </w:rPr>
      </w:pPr>
      <w:r w:rsidRPr="00FB79D6">
        <w:rPr>
          <w:rFonts w:ascii="Arial" w:hAnsi="Arial" w:cs="Arial"/>
          <w:b/>
          <w:bCs/>
        </w:rPr>
        <w:t>Conclusions</w:t>
      </w:r>
    </w:p>
    <w:p w14:paraId="7BE4AE49" w14:textId="7F1E14A9" w:rsidR="008427FA" w:rsidRDefault="00564B95" w:rsidP="00564B95">
      <w:pPr>
        <w:rPr>
          <w:rFonts w:ascii="Arial" w:hAnsi="Arial" w:cs="Arial"/>
        </w:rPr>
      </w:pPr>
      <w:r w:rsidRPr="00FB79D6">
        <w:rPr>
          <w:rFonts w:ascii="Arial" w:hAnsi="Arial" w:cs="Arial"/>
        </w:rPr>
        <w:t>Type 2 diabetes treatment post-metformin in Australia has shifted toward SGLT2i- and GLP-1 RAs - based therapies. However, suboptimal use of these agents persists in older adults and individuals with cardiovascular risk.</w:t>
      </w:r>
    </w:p>
    <w:p w14:paraId="34EF4634" w14:textId="77777777" w:rsidR="00DF3231" w:rsidRDefault="00DF3231" w:rsidP="007B4453">
      <w:pPr>
        <w:rPr>
          <w:rFonts w:ascii="Arial" w:hAnsi="Arial" w:cs="Arial"/>
        </w:rPr>
      </w:pPr>
    </w:p>
    <w:sectPr w:rsidR="00DF3231" w:rsidSect="00A508B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8124D"/>
    <w:rsid w:val="00371505"/>
    <w:rsid w:val="00376B39"/>
    <w:rsid w:val="00416009"/>
    <w:rsid w:val="00477AC2"/>
    <w:rsid w:val="004A17C0"/>
    <w:rsid w:val="004D443F"/>
    <w:rsid w:val="004E09DD"/>
    <w:rsid w:val="00564B95"/>
    <w:rsid w:val="007244F0"/>
    <w:rsid w:val="007B4453"/>
    <w:rsid w:val="00830A4D"/>
    <w:rsid w:val="008427FA"/>
    <w:rsid w:val="008953CF"/>
    <w:rsid w:val="00953E7C"/>
    <w:rsid w:val="009A582D"/>
    <w:rsid w:val="009D79DB"/>
    <w:rsid w:val="00A508B5"/>
    <w:rsid w:val="00A85759"/>
    <w:rsid w:val="00AD0438"/>
    <w:rsid w:val="00BC73E4"/>
    <w:rsid w:val="00D56368"/>
    <w:rsid w:val="00DD0D64"/>
    <w:rsid w:val="00DF3231"/>
    <w:rsid w:val="00FB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E2C09BD-87B0-4401-A918-755ABF3ABC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Thu Hang Nguyen</cp:lastModifiedBy>
  <cp:revision>16</cp:revision>
  <dcterms:created xsi:type="dcterms:W3CDTF">2025-01-19T22:30:00Z</dcterms:created>
  <dcterms:modified xsi:type="dcterms:W3CDTF">2026-02-16T03:51:00Z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