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7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71"/>
      </w:tblGrid>
      <w:tr w:rsidR="00735340" w:rsidRPr="0050053A" w14:paraId="5C38377B" w14:textId="77777777" w:rsidTr="002D2395">
        <w:trPr>
          <w:trHeight w:val="570"/>
          <w:jc w:val="center"/>
        </w:trPr>
        <w:tc>
          <w:tcPr>
            <w:tcW w:w="8771" w:type="dxa"/>
            <w:shd w:val="clear" w:color="auto" w:fill="auto"/>
          </w:tcPr>
          <w:p w14:paraId="5C44F357" w14:textId="255524FC" w:rsidR="00735340" w:rsidRPr="00735340" w:rsidRDefault="00735340" w:rsidP="00735340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  <w:lang w:val="en-US" w:eastAsia="zh-CN"/>
              </w:rPr>
            </w:pPr>
            <w:r w:rsidRPr="00735340">
              <w:rPr>
                <w:rFonts w:ascii="Arial" w:hAnsi="Arial" w:cs="Arial"/>
                <w:b/>
                <w:bCs/>
                <w:lang w:eastAsia="en-AU"/>
              </w:rPr>
              <w:t xml:space="preserve"> </w:t>
            </w:r>
            <w:r w:rsidR="00397FFA">
              <w:rPr>
                <w:rFonts w:ascii="Arial" w:hAnsi="Arial" w:cs="Arial"/>
                <w:b/>
                <w:bCs/>
                <w:lang w:eastAsia="en-AU"/>
              </w:rPr>
              <w:t>E</w:t>
            </w:r>
            <w:r w:rsidRPr="00735340">
              <w:rPr>
                <w:rFonts w:ascii="Arial" w:hAnsi="Arial" w:cs="Arial"/>
                <w:b/>
                <w:bCs/>
                <w:lang w:eastAsia="en-AU"/>
              </w:rPr>
              <w:t>xposure to occupational dusts</w:t>
            </w:r>
            <w:r w:rsidR="00397FFA">
              <w:rPr>
                <w:rFonts w:ascii="Arial" w:hAnsi="Arial" w:cs="Arial"/>
                <w:b/>
                <w:bCs/>
                <w:lang w:eastAsia="en-AU"/>
              </w:rPr>
              <w:t xml:space="preserve"> and l</w:t>
            </w:r>
            <w:r w:rsidR="00397FFA" w:rsidRPr="00735340">
              <w:rPr>
                <w:rFonts w:ascii="Arial" w:hAnsi="Arial" w:cs="Arial"/>
                <w:b/>
                <w:bCs/>
                <w:lang w:eastAsia="en-AU"/>
              </w:rPr>
              <w:t>ung diffusion capacity</w:t>
            </w:r>
          </w:p>
        </w:tc>
      </w:tr>
      <w:tr w:rsidR="00735340" w:rsidRPr="0050053A" w14:paraId="0E2E035C" w14:textId="77777777" w:rsidTr="002D2395">
        <w:trPr>
          <w:trHeight w:val="544"/>
          <w:jc w:val="center"/>
        </w:trPr>
        <w:tc>
          <w:tcPr>
            <w:tcW w:w="8771" w:type="dxa"/>
            <w:shd w:val="clear" w:color="auto" w:fill="auto"/>
          </w:tcPr>
          <w:p w14:paraId="73B55295" w14:textId="3D973FFB" w:rsidR="00735340" w:rsidRPr="00735340" w:rsidRDefault="00735340" w:rsidP="00735340">
            <w:pPr>
              <w:spacing w:before="120" w:after="120"/>
              <w:rPr>
                <w:rFonts w:ascii="Arial" w:hAnsi="Arial" w:cs="Arial"/>
                <w:sz w:val="22"/>
                <w:szCs w:val="22"/>
                <w:u w:val="single"/>
                <w:lang w:eastAsia="zh-CN"/>
              </w:rPr>
            </w:pPr>
            <w:r w:rsidRPr="00735340">
              <w:rPr>
                <w:rFonts w:ascii="Arial" w:hAnsi="Arial" w:cs="Arial"/>
                <w:color w:val="000000"/>
                <w:sz w:val="22"/>
                <w:szCs w:val="22"/>
                <w:shd w:val="clear" w:color="auto" w:fill="FFFFFF" w:themeFill="background1"/>
                <w:lang w:val="en-US" w:eastAsia="en-AU"/>
              </w:rPr>
              <w:t>Dona Wijayasinghe</w:t>
            </w:r>
            <w:r w:rsidRPr="00735340">
              <w:rPr>
                <w:rFonts w:ascii="Arial" w:hAnsi="Arial" w:cs="Arial"/>
                <w:sz w:val="22"/>
                <w:szCs w:val="22"/>
                <w:vertAlign w:val="superscript"/>
                <w:lang w:val="en-US" w:eastAsia="en-AU"/>
              </w:rPr>
              <w:t>1</w:t>
            </w:r>
            <w:r w:rsidRPr="00735340">
              <w:rPr>
                <w:rFonts w:ascii="Arial" w:hAnsi="Arial" w:cs="Arial"/>
                <w:sz w:val="22"/>
                <w:szCs w:val="22"/>
                <w:lang w:val="en-US" w:eastAsia="en-AU"/>
              </w:rPr>
              <w:t>,</w:t>
            </w:r>
            <w:r w:rsidRPr="00735340">
              <w:rPr>
                <w:rFonts w:ascii="Arial" w:hAnsi="Arial" w:cs="Arial"/>
                <w:color w:val="000000"/>
                <w:sz w:val="22"/>
                <w:szCs w:val="22"/>
                <w:shd w:val="clear" w:color="auto" w:fill="FFFFFF" w:themeFill="background1"/>
                <w:lang w:val="en-US" w:eastAsia="en-AU"/>
              </w:rPr>
              <w:t xml:space="preserve"> Yong Song</w:t>
            </w:r>
            <w:r w:rsidRPr="00735340">
              <w:rPr>
                <w:rFonts w:ascii="Arial" w:hAnsi="Arial" w:cs="Arial"/>
                <w:sz w:val="22"/>
                <w:szCs w:val="22"/>
                <w:shd w:val="clear" w:color="auto" w:fill="FFFFFF" w:themeFill="background1"/>
                <w:vertAlign w:val="superscript"/>
                <w:lang w:val="en-US" w:eastAsia="en-AU"/>
              </w:rPr>
              <w:t>1</w:t>
            </w:r>
            <w:r w:rsidRPr="00735340">
              <w:rPr>
                <w:rFonts w:ascii="Arial" w:hAnsi="Arial" w:cs="Arial"/>
                <w:sz w:val="22"/>
                <w:szCs w:val="22"/>
                <w:shd w:val="clear" w:color="auto" w:fill="FFFFFF" w:themeFill="background1"/>
                <w:lang w:val="en-US" w:eastAsia="en-AU"/>
              </w:rPr>
              <w:t xml:space="preserve">, </w:t>
            </w:r>
            <w:r w:rsidRPr="00735340">
              <w:rPr>
                <w:rFonts w:ascii="Arial" w:hAnsi="Arial" w:cs="Arial"/>
                <w:color w:val="000000"/>
                <w:sz w:val="22"/>
                <w:szCs w:val="22"/>
                <w:shd w:val="clear" w:color="auto" w:fill="FFFFFF" w:themeFill="background1"/>
                <w:lang w:val="en-US" w:eastAsia="en-AU"/>
              </w:rPr>
              <w:t>Karen Patterson</w:t>
            </w:r>
            <w:r w:rsidRPr="00735340">
              <w:rPr>
                <w:rFonts w:ascii="Arial" w:hAnsi="Arial" w:cs="Arial"/>
                <w:sz w:val="22"/>
                <w:szCs w:val="22"/>
                <w:shd w:val="clear" w:color="auto" w:fill="FFFFFF" w:themeFill="background1"/>
                <w:vertAlign w:val="superscript"/>
                <w:lang w:val="en-US" w:eastAsia="en-AU"/>
              </w:rPr>
              <w:t>1</w:t>
            </w:r>
            <w:r w:rsidRPr="00735340">
              <w:rPr>
                <w:rFonts w:ascii="Arial" w:hAnsi="Arial" w:cs="Arial"/>
                <w:sz w:val="22"/>
                <w:szCs w:val="22"/>
                <w:shd w:val="clear" w:color="auto" w:fill="FFFFFF" w:themeFill="background1"/>
                <w:lang w:val="en-US" w:eastAsia="en-AU"/>
              </w:rPr>
              <w:t>,</w:t>
            </w:r>
            <w:r w:rsidRPr="00735340">
              <w:rPr>
                <w:rFonts w:ascii="Arial" w:hAnsi="Arial" w:cs="Arial"/>
                <w:sz w:val="22"/>
                <w:szCs w:val="22"/>
                <w:lang w:val="en-US" w:eastAsia="en-AU"/>
              </w:rPr>
              <w:t xml:space="preserve"> Graeme Zosky</w:t>
            </w:r>
            <w:r w:rsidRPr="00735340">
              <w:rPr>
                <w:rFonts w:ascii="Arial" w:hAnsi="Arial" w:cs="Arial"/>
                <w:sz w:val="22"/>
                <w:szCs w:val="22"/>
                <w:vertAlign w:val="superscript"/>
                <w:lang w:val="en-US" w:eastAsia="en-AU"/>
              </w:rPr>
              <w:t>1</w:t>
            </w:r>
            <w:r w:rsidRPr="00735340">
              <w:rPr>
                <w:rFonts w:ascii="Arial" w:hAnsi="Arial" w:cs="Arial"/>
                <w:sz w:val="22"/>
                <w:szCs w:val="22"/>
                <w:lang w:val="en-US" w:eastAsia="en-AU"/>
              </w:rPr>
              <w:t xml:space="preserve">, </w:t>
            </w:r>
            <w:r w:rsidRPr="00735340">
              <w:rPr>
                <w:rFonts w:ascii="Arial" w:hAnsi="Arial" w:cs="Arial"/>
                <w:color w:val="000000"/>
                <w:sz w:val="22"/>
                <w:szCs w:val="22"/>
                <w:shd w:val="clear" w:color="auto" w:fill="FFFFFF" w:themeFill="background1"/>
                <w:lang w:val="en-US" w:eastAsia="en-AU"/>
              </w:rPr>
              <w:t>Sheikh Alif</w:t>
            </w:r>
            <w:r w:rsidRPr="00735340">
              <w:rPr>
                <w:rFonts w:ascii="Arial" w:hAnsi="Arial" w:cs="Arial"/>
                <w:sz w:val="22"/>
                <w:szCs w:val="22"/>
                <w:shd w:val="clear" w:color="auto" w:fill="FFFFFF" w:themeFill="background1"/>
                <w:vertAlign w:val="superscript"/>
                <w:lang w:val="en-US" w:eastAsia="en-AU"/>
              </w:rPr>
              <w:t>2</w:t>
            </w:r>
          </w:p>
        </w:tc>
      </w:tr>
      <w:tr w:rsidR="00735340" w:rsidRPr="0050053A" w14:paraId="385A19D9" w14:textId="77777777" w:rsidTr="002D2395">
        <w:trPr>
          <w:trHeight w:val="150"/>
          <w:jc w:val="center"/>
        </w:trPr>
        <w:tc>
          <w:tcPr>
            <w:tcW w:w="8771" w:type="dxa"/>
            <w:shd w:val="clear" w:color="auto" w:fill="auto"/>
          </w:tcPr>
          <w:p w14:paraId="1643A330" w14:textId="5677FD3B" w:rsidR="00735340" w:rsidRPr="00735340" w:rsidRDefault="00735340" w:rsidP="00735340">
            <w:pPr>
              <w:spacing w:before="120" w:after="120"/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</w:pPr>
            <w:r w:rsidRPr="0050053A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1</w:t>
            </w:r>
            <w:r w:rsidRPr="00C659AF">
              <w:rPr>
                <w:rFonts w:cstheme="minorHAnsi"/>
                <w:i/>
                <w:iCs/>
                <w:color w:val="000000"/>
                <w:shd w:val="clear" w:color="auto" w:fill="FFFFFF" w:themeFill="background1"/>
                <w:lang w:val="en-US" w:eastAsia="en-AU"/>
              </w:rPr>
              <w:t xml:space="preserve"> </w:t>
            </w:r>
            <w:r w:rsidRPr="00735340">
              <w:rPr>
                <w:rFonts w:ascii="Arial" w:hAnsi="Arial" w:cs="Arial"/>
                <w:i/>
                <w:iCs/>
                <w:color w:val="000000"/>
                <w:sz w:val="22"/>
                <w:szCs w:val="22"/>
                <w:shd w:val="clear" w:color="auto" w:fill="FFFFFF" w:themeFill="background1"/>
                <w:lang w:val="en-US" w:eastAsia="en-AU"/>
              </w:rPr>
              <w:t>Menzies Institute for Medical Research, University of Tasmania, Hobart, Tasmania, Australia</w:t>
            </w:r>
          </w:p>
          <w:p w14:paraId="45ED36BF" w14:textId="21603707" w:rsidR="00735340" w:rsidRPr="0050053A" w:rsidRDefault="00735340" w:rsidP="00735340">
            <w:pPr>
              <w:spacing w:before="120" w:after="120"/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</w:pPr>
            <w:r w:rsidRPr="0050053A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2</w:t>
            </w:r>
            <w:r w:rsidRPr="00C659AF">
              <w:rPr>
                <w:rFonts w:cstheme="minorHAnsi"/>
                <w:i/>
                <w:iCs/>
                <w:color w:val="000000"/>
                <w:shd w:val="clear" w:color="auto" w:fill="FFFFFF" w:themeFill="background1"/>
                <w:lang w:val="en-US" w:eastAsia="en-AU"/>
              </w:rPr>
              <w:t xml:space="preserve"> </w:t>
            </w:r>
            <w:r w:rsidRPr="00735340">
              <w:rPr>
                <w:rFonts w:ascii="Arial" w:hAnsi="Arial" w:cs="Arial"/>
                <w:i/>
                <w:iCs/>
                <w:color w:val="000000"/>
                <w:sz w:val="22"/>
                <w:szCs w:val="22"/>
                <w:shd w:val="clear" w:color="auto" w:fill="FFFFFF" w:themeFill="background1"/>
                <w:lang w:val="en-US" w:eastAsia="en-AU"/>
              </w:rPr>
              <w:t>School of Public Health and Preventive Medicine, Monash University, Victoria, Australia</w:t>
            </w:r>
            <w:r w:rsidRPr="0050053A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 xml:space="preserve"> </w:t>
            </w:r>
          </w:p>
        </w:tc>
      </w:tr>
      <w:tr w:rsidR="00735340" w:rsidRPr="0050053A" w14:paraId="6DAF615A" w14:textId="77777777" w:rsidTr="002D2395">
        <w:trPr>
          <w:trHeight w:hRule="exact" w:val="8129"/>
          <w:jc w:val="center"/>
        </w:trPr>
        <w:tc>
          <w:tcPr>
            <w:tcW w:w="8771" w:type="dxa"/>
            <w:shd w:val="clear" w:color="auto" w:fill="auto"/>
          </w:tcPr>
          <w:p w14:paraId="739E7937" w14:textId="77777777" w:rsidR="00735340" w:rsidRPr="0050053A" w:rsidRDefault="00735340" w:rsidP="00735340">
            <w:pPr>
              <w:pStyle w:val="Pa12"/>
              <w:rPr>
                <w:rStyle w:val="A4"/>
              </w:rPr>
            </w:pPr>
            <w:r>
              <w:rPr>
                <w:rStyle w:val="A4"/>
                <w:b/>
                <w:bCs/>
              </w:rPr>
              <w:t>Introduction/</w:t>
            </w:r>
            <w:r w:rsidRPr="0050053A">
              <w:rPr>
                <w:rStyle w:val="A4"/>
                <w:b/>
                <w:bCs/>
              </w:rPr>
              <w:t xml:space="preserve">Aim: </w:t>
            </w:r>
          </w:p>
          <w:p w14:paraId="473E54EE" w14:textId="37A3A058" w:rsidR="00735340" w:rsidRPr="00735340" w:rsidRDefault="00735340" w:rsidP="00735340">
            <w:pPr>
              <w:pStyle w:val="Pa12"/>
              <w:rPr>
                <w:sz w:val="22"/>
                <w:szCs w:val="22"/>
                <w:lang w:val="en-AU"/>
              </w:rPr>
            </w:pPr>
            <w:bookmarkStart w:id="0" w:name="_Hlk137646546"/>
            <w:r w:rsidRPr="00735340">
              <w:rPr>
                <w:sz w:val="22"/>
                <w:szCs w:val="22"/>
                <w:lang w:val="en-AU"/>
              </w:rPr>
              <w:t xml:space="preserve">Exposure to occupational dusts is associated with lung function decline and chronic lung disease. </w:t>
            </w:r>
            <w:r w:rsidR="002D2395" w:rsidRPr="00735340">
              <w:rPr>
                <w:sz w:val="22"/>
                <w:szCs w:val="22"/>
                <w:lang w:val="en-AU"/>
              </w:rPr>
              <w:t>However, few studies have assessed th</w:t>
            </w:r>
            <w:r w:rsidR="002D2395">
              <w:rPr>
                <w:sz w:val="22"/>
                <w:szCs w:val="22"/>
                <w:lang w:val="en-AU"/>
              </w:rPr>
              <w:t xml:space="preserve">is </w:t>
            </w:r>
            <w:r w:rsidR="002D2395" w:rsidRPr="00735340">
              <w:rPr>
                <w:sz w:val="22"/>
                <w:szCs w:val="22"/>
                <w:lang w:val="en-AU"/>
              </w:rPr>
              <w:t>impact of exposure to occupational dust on gas exchange, and those that exist have focussed on job specific cohorts</w:t>
            </w:r>
            <w:r w:rsidRPr="00735340">
              <w:rPr>
                <w:sz w:val="22"/>
                <w:szCs w:val="22"/>
                <w:lang w:val="en-AU"/>
              </w:rPr>
              <w:t xml:space="preserve">. The aim of this study </w:t>
            </w:r>
            <w:r w:rsidR="002D2395">
              <w:rPr>
                <w:sz w:val="22"/>
                <w:szCs w:val="22"/>
                <w:lang w:val="en-AU"/>
              </w:rPr>
              <w:t xml:space="preserve">therefore </w:t>
            </w:r>
            <w:r w:rsidRPr="00735340">
              <w:rPr>
                <w:sz w:val="22"/>
                <w:szCs w:val="22"/>
                <w:lang w:val="en-AU"/>
              </w:rPr>
              <w:t xml:space="preserve">was to the </w:t>
            </w:r>
            <w:r w:rsidR="002D2395">
              <w:rPr>
                <w:sz w:val="22"/>
                <w:szCs w:val="22"/>
                <w:lang w:val="en-AU"/>
              </w:rPr>
              <w:t>assess</w:t>
            </w:r>
            <w:r w:rsidR="004D7744" w:rsidRPr="00735340">
              <w:rPr>
                <w:sz w:val="22"/>
                <w:szCs w:val="22"/>
                <w:lang w:val="en-AU"/>
              </w:rPr>
              <w:t xml:space="preserve"> </w:t>
            </w:r>
            <w:r w:rsidRPr="00735340">
              <w:rPr>
                <w:sz w:val="22"/>
                <w:szCs w:val="22"/>
                <w:lang w:val="en-AU"/>
              </w:rPr>
              <w:t>the association between occupational exposures to silica dust, coal dust and diesel particles</w:t>
            </w:r>
            <w:r w:rsidR="004D7744">
              <w:rPr>
                <w:sz w:val="22"/>
                <w:szCs w:val="22"/>
                <w:lang w:val="en-AU"/>
              </w:rPr>
              <w:t xml:space="preserve"> </w:t>
            </w:r>
            <w:r w:rsidRPr="00735340">
              <w:rPr>
                <w:sz w:val="22"/>
                <w:szCs w:val="22"/>
                <w:lang w:val="en-AU"/>
              </w:rPr>
              <w:t xml:space="preserve">on lung diffusion capacity in a community cohort. </w:t>
            </w:r>
          </w:p>
          <w:bookmarkEnd w:id="0"/>
          <w:p w14:paraId="3D770CF7" w14:textId="692381E7" w:rsidR="00735340" w:rsidRPr="00735340" w:rsidRDefault="00735340" w:rsidP="00735340">
            <w:pPr>
              <w:pStyle w:val="Pa12"/>
              <w:rPr>
                <w:rStyle w:val="A4"/>
                <w:color w:val="auto"/>
                <w:lang w:val="en-AU"/>
              </w:rPr>
            </w:pPr>
            <w:r w:rsidRPr="00735340">
              <w:rPr>
                <w:sz w:val="22"/>
                <w:szCs w:val="22"/>
                <w:lang w:val="en-AU"/>
              </w:rPr>
              <w:t> </w:t>
            </w:r>
          </w:p>
          <w:p w14:paraId="1B39336E" w14:textId="77777777" w:rsidR="00735340" w:rsidRPr="0050053A" w:rsidRDefault="00735340" w:rsidP="00735340">
            <w:pPr>
              <w:pStyle w:val="Pa12"/>
              <w:rPr>
                <w:rStyle w:val="A4"/>
                <w:b/>
                <w:bCs/>
              </w:rPr>
            </w:pPr>
            <w:r w:rsidRPr="0050053A">
              <w:rPr>
                <w:rStyle w:val="A4"/>
                <w:b/>
                <w:bCs/>
              </w:rPr>
              <w:t>Method</w:t>
            </w:r>
            <w:r>
              <w:rPr>
                <w:rStyle w:val="A4"/>
                <w:b/>
                <w:bCs/>
              </w:rPr>
              <w:t>s</w:t>
            </w:r>
            <w:r w:rsidRPr="0050053A">
              <w:rPr>
                <w:rStyle w:val="A4"/>
                <w:b/>
                <w:bCs/>
              </w:rPr>
              <w:t xml:space="preserve">: </w:t>
            </w:r>
          </w:p>
          <w:p w14:paraId="265C570E" w14:textId="649A751B" w:rsidR="00735340" w:rsidRPr="00735340" w:rsidRDefault="00735340" w:rsidP="00735340">
            <w:pPr>
              <w:pStyle w:val="Pa12"/>
              <w:rPr>
                <w:sz w:val="22"/>
                <w:szCs w:val="22"/>
                <w:lang w:val="en-AU"/>
              </w:rPr>
            </w:pPr>
            <w:bookmarkStart w:id="1" w:name="_Hlk137646646"/>
            <w:r w:rsidRPr="00735340">
              <w:rPr>
                <w:sz w:val="22"/>
                <w:szCs w:val="22"/>
                <w:lang w:val="en-AU"/>
              </w:rPr>
              <w:t xml:space="preserve">A subset of the Tasmanian Longitudinal Health Study (TAHS) was </w:t>
            </w:r>
            <w:r w:rsidR="004D7744">
              <w:rPr>
                <w:sz w:val="22"/>
                <w:szCs w:val="22"/>
                <w:lang w:val="en-AU"/>
              </w:rPr>
              <w:t>used in this study,</w:t>
            </w:r>
            <w:r w:rsidR="004D7744" w:rsidRPr="00735340">
              <w:rPr>
                <w:sz w:val="22"/>
                <w:szCs w:val="22"/>
                <w:lang w:val="en-AU"/>
              </w:rPr>
              <w:t xml:space="preserve"> </w:t>
            </w:r>
            <w:r w:rsidRPr="00735340">
              <w:rPr>
                <w:sz w:val="22"/>
                <w:szCs w:val="22"/>
                <w:lang w:val="en-AU"/>
              </w:rPr>
              <w:t xml:space="preserve">consisting of 1405 participants (51.2% male and 48.8% female) of an average age of 42.8 (± 0.8) with lung function measurements and lifetime occupational data. Pulmonary gas exchange was assessed using the diffusing capacity of the lungs for carbon monoxide (DLCO). A job exposure matrix was used to calculate occupational exposures to silica, coal, and diesel. Associations between occupational exposures and lung function were </w:t>
            </w:r>
            <w:r w:rsidR="004D7744">
              <w:rPr>
                <w:sz w:val="22"/>
                <w:szCs w:val="22"/>
                <w:lang w:val="en-AU"/>
              </w:rPr>
              <w:t>studied</w:t>
            </w:r>
            <w:r w:rsidR="004D7744" w:rsidRPr="00735340">
              <w:rPr>
                <w:sz w:val="22"/>
                <w:szCs w:val="22"/>
                <w:lang w:val="en-AU"/>
              </w:rPr>
              <w:t xml:space="preserve"> </w:t>
            </w:r>
            <w:r w:rsidRPr="00735340">
              <w:rPr>
                <w:sz w:val="22"/>
                <w:szCs w:val="22"/>
                <w:lang w:val="en-AU"/>
              </w:rPr>
              <w:t xml:space="preserve">using </w:t>
            </w:r>
            <w:r w:rsidR="004D7744">
              <w:rPr>
                <w:sz w:val="22"/>
                <w:szCs w:val="22"/>
                <w:lang w:val="en-AU"/>
              </w:rPr>
              <w:t xml:space="preserve">linear </w:t>
            </w:r>
            <w:r w:rsidRPr="00735340">
              <w:rPr>
                <w:sz w:val="22"/>
                <w:szCs w:val="22"/>
                <w:lang w:val="en-AU"/>
              </w:rPr>
              <w:t xml:space="preserve">regression analysis with adjustment for covariates identified a priori. </w:t>
            </w:r>
          </w:p>
          <w:bookmarkEnd w:id="1"/>
          <w:p w14:paraId="5029BAE6" w14:textId="6BF0ACE8" w:rsidR="00735340" w:rsidRPr="00735340" w:rsidRDefault="00735340" w:rsidP="00735340">
            <w:pPr>
              <w:pStyle w:val="Pa12"/>
              <w:rPr>
                <w:rStyle w:val="A4"/>
                <w:color w:val="auto"/>
              </w:rPr>
            </w:pPr>
          </w:p>
          <w:p w14:paraId="6BF3F094" w14:textId="77777777" w:rsidR="00735340" w:rsidRPr="0050053A" w:rsidRDefault="00735340" w:rsidP="00735340">
            <w:pPr>
              <w:pStyle w:val="Pa12"/>
              <w:rPr>
                <w:rStyle w:val="A4"/>
                <w:b/>
                <w:bCs/>
              </w:rPr>
            </w:pPr>
            <w:r w:rsidRPr="0050053A">
              <w:rPr>
                <w:rStyle w:val="A4"/>
                <w:b/>
                <w:bCs/>
              </w:rPr>
              <w:t xml:space="preserve">Results: </w:t>
            </w:r>
          </w:p>
          <w:p w14:paraId="65F731FC" w14:textId="69B66007" w:rsidR="00735340" w:rsidRPr="00735340" w:rsidRDefault="00735340" w:rsidP="00735340">
            <w:pPr>
              <w:pStyle w:val="Pa12"/>
              <w:rPr>
                <w:sz w:val="22"/>
                <w:szCs w:val="22"/>
                <w:lang w:val="en-AU"/>
              </w:rPr>
            </w:pPr>
            <w:bookmarkStart w:id="2" w:name="_Hlk137649601"/>
            <w:r w:rsidRPr="00735340">
              <w:rPr>
                <w:sz w:val="22"/>
                <w:szCs w:val="22"/>
                <w:lang w:val="en-AU"/>
              </w:rPr>
              <w:t xml:space="preserve">Of the 1405 participants assessed, no </w:t>
            </w:r>
            <w:r w:rsidR="004D7744">
              <w:rPr>
                <w:sz w:val="22"/>
                <w:szCs w:val="22"/>
                <w:lang w:val="en-AU"/>
              </w:rPr>
              <w:t xml:space="preserve">significant </w:t>
            </w:r>
            <w:r w:rsidRPr="00735340">
              <w:rPr>
                <w:sz w:val="22"/>
                <w:szCs w:val="22"/>
                <w:lang w:val="en-AU"/>
              </w:rPr>
              <w:t xml:space="preserve">association was found between </w:t>
            </w:r>
            <w:r w:rsidR="004D7744">
              <w:rPr>
                <w:sz w:val="22"/>
                <w:szCs w:val="22"/>
                <w:lang w:val="en-AU"/>
              </w:rPr>
              <w:t>lung diffusion capacity</w:t>
            </w:r>
            <w:r w:rsidR="002D2395">
              <w:rPr>
                <w:sz w:val="22"/>
                <w:szCs w:val="22"/>
                <w:lang w:val="en-AU"/>
              </w:rPr>
              <w:t xml:space="preserve"> (DLCO)</w:t>
            </w:r>
            <w:r w:rsidR="004D7744" w:rsidRPr="00735340">
              <w:rPr>
                <w:sz w:val="22"/>
                <w:szCs w:val="22"/>
                <w:lang w:val="en-AU"/>
              </w:rPr>
              <w:t xml:space="preserve"> </w:t>
            </w:r>
            <w:r w:rsidRPr="00735340">
              <w:rPr>
                <w:sz w:val="22"/>
                <w:szCs w:val="22"/>
                <w:lang w:val="en-AU"/>
              </w:rPr>
              <w:t>and exposure to silica (</w:t>
            </w:r>
            <w:r w:rsidRPr="00735340">
              <w:rPr>
                <w:i/>
                <w:iCs/>
                <w:sz w:val="22"/>
                <w:szCs w:val="22"/>
                <w:lang w:val="en-AU"/>
              </w:rPr>
              <w:t>p</w:t>
            </w:r>
            <w:r w:rsidRPr="00735340">
              <w:rPr>
                <w:sz w:val="22"/>
                <w:szCs w:val="22"/>
                <w:lang w:val="en-AU"/>
              </w:rPr>
              <w:t xml:space="preserve"> = 0.91), coal (</w:t>
            </w:r>
            <w:r w:rsidRPr="00735340">
              <w:rPr>
                <w:i/>
                <w:iCs/>
                <w:sz w:val="22"/>
                <w:szCs w:val="22"/>
                <w:lang w:val="en-AU"/>
              </w:rPr>
              <w:t>p</w:t>
            </w:r>
            <w:r w:rsidRPr="00735340">
              <w:rPr>
                <w:sz w:val="22"/>
                <w:szCs w:val="22"/>
                <w:lang w:val="en-AU"/>
              </w:rPr>
              <w:t xml:space="preserve"> = 0.48), or diesel (</w:t>
            </w:r>
            <w:r w:rsidRPr="00735340">
              <w:rPr>
                <w:i/>
                <w:iCs/>
                <w:sz w:val="22"/>
                <w:szCs w:val="22"/>
                <w:lang w:val="en-AU"/>
              </w:rPr>
              <w:t>p</w:t>
            </w:r>
            <w:r w:rsidRPr="00735340">
              <w:rPr>
                <w:sz w:val="22"/>
                <w:szCs w:val="22"/>
                <w:lang w:val="en-AU"/>
              </w:rPr>
              <w:t xml:space="preserve"> = 0.71). </w:t>
            </w:r>
          </w:p>
          <w:bookmarkEnd w:id="2"/>
          <w:p w14:paraId="68537800" w14:textId="2A150C1A" w:rsidR="00735340" w:rsidRPr="00735340" w:rsidRDefault="00735340" w:rsidP="00735340">
            <w:pPr>
              <w:pStyle w:val="Pa12"/>
              <w:rPr>
                <w:rStyle w:val="A4"/>
                <w:color w:val="auto"/>
              </w:rPr>
            </w:pPr>
          </w:p>
          <w:p w14:paraId="652F7BE1" w14:textId="77777777" w:rsidR="00735340" w:rsidRPr="0050053A" w:rsidRDefault="00735340" w:rsidP="00735340">
            <w:pPr>
              <w:pStyle w:val="Pa12"/>
              <w:rPr>
                <w:rStyle w:val="A4"/>
                <w:b/>
                <w:bCs/>
              </w:rPr>
            </w:pPr>
            <w:r w:rsidRPr="0050053A">
              <w:rPr>
                <w:rStyle w:val="A4"/>
                <w:b/>
                <w:bCs/>
              </w:rPr>
              <w:t xml:space="preserve">Conclusion: </w:t>
            </w:r>
          </w:p>
          <w:p w14:paraId="2A651708" w14:textId="06FA047C" w:rsidR="00735340" w:rsidRPr="0050053A" w:rsidRDefault="002D2395" w:rsidP="00735340">
            <w:pPr>
              <w:pStyle w:val="Pa12"/>
              <w:rPr>
                <w:sz w:val="22"/>
                <w:szCs w:val="22"/>
              </w:rPr>
            </w:pPr>
            <w:r w:rsidRPr="00735340">
              <w:rPr>
                <w:sz w:val="22"/>
                <w:szCs w:val="22"/>
                <w:lang w:val="en-AU"/>
              </w:rPr>
              <w:t xml:space="preserve">There were no detectable impacts of silica, coal, or diesel exposure on pulmonary gas exchange. However, these findings could be ascribed to the possibility that DLCO might not serve as a responsive indicator of pulmonary health effects during middle age, or due to the generally low levels of silica and diesel exposure observed in this cohort. </w:t>
            </w:r>
          </w:p>
          <w:p w14:paraId="196E7BAC" w14:textId="028A4DE0" w:rsidR="00735340" w:rsidRPr="0050053A" w:rsidRDefault="00735340" w:rsidP="00735340">
            <w:pPr>
              <w:pStyle w:val="Pa12"/>
              <w:rPr>
                <w:rStyle w:val="A4"/>
                <w:bCs/>
              </w:rPr>
            </w:pPr>
          </w:p>
          <w:p w14:paraId="3E8B4283" w14:textId="77777777" w:rsidR="00735340" w:rsidRPr="0050053A" w:rsidRDefault="00735340" w:rsidP="00735340">
            <w:pPr>
              <w:pStyle w:val="Pa12"/>
              <w:rPr>
                <w:rStyle w:val="A4"/>
                <w:b/>
                <w:bCs/>
              </w:rPr>
            </w:pPr>
            <w:r w:rsidRPr="0050053A">
              <w:rPr>
                <w:rStyle w:val="A4"/>
                <w:b/>
                <w:bCs/>
              </w:rPr>
              <w:t xml:space="preserve">Grant Support: </w:t>
            </w:r>
          </w:p>
          <w:p w14:paraId="7F8381F0" w14:textId="3D39BCCE" w:rsidR="00735340" w:rsidRDefault="002D2395" w:rsidP="00735340">
            <w:pPr>
              <w:pStyle w:val="Pa1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N/A</w:t>
            </w:r>
            <w:r w:rsidR="00735340">
              <w:rPr>
                <w:sz w:val="22"/>
                <w:szCs w:val="22"/>
              </w:rPr>
              <w:br/>
            </w:r>
            <w:r w:rsidR="00735340">
              <w:rPr>
                <w:sz w:val="22"/>
                <w:szCs w:val="22"/>
              </w:rPr>
              <w:br/>
            </w:r>
            <w:r w:rsidR="00735340">
              <w:rPr>
                <w:sz w:val="22"/>
                <w:szCs w:val="22"/>
              </w:rPr>
              <w:br/>
            </w:r>
            <w:r w:rsidR="00735340">
              <w:rPr>
                <w:sz w:val="22"/>
                <w:szCs w:val="22"/>
              </w:rPr>
              <w:br/>
            </w:r>
            <w:r w:rsidR="00735340">
              <w:rPr>
                <w:sz w:val="22"/>
                <w:szCs w:val="22"/>
              </w:rPr>
              <w:br/>
            </w:r>
            <w:r w:rsidR="00735340">
              <w:rPr>
                <w:sz w:val="22"/>
                <w:szCs w:val="22"/>
              </w:rPr>
              <w:br/>
            </w:r>
            <w:r w:rsidR="00735340">
              <w:rPr>
                <w:sz w:val="22"/>
                <w:szCs w:val="22"/>
              </w:rPr>
              <w:br/>
            </w:r>
            <w:r w:rsidR="00735340">
              <w:rPr>
                <w:sz w:val="22"/>
                <w:szCs w:val="22"/>
              </w:rPr>
              <w:br/>
            </w:r>
            <w:r w:rsidR="00735340">
              <w:rPr>
                <w:sz w:val="22"/>
                <w:szCs w:val="22"/>
              </w:rPr>
              <w:br/>
            </w:r>
            <w:r w:rsidR="00735340">
              <w:rPr>
                <w:sz w:val="22"/>
                <w:szCs w:val="22"/>
              </w:rPr>
              <w:br/>
            </w:r>
            <w:r w:rsidR="00735340">
              <w:rPr>
                <w:sz w:val="22"/>
                <w:szCs w:val="22"/>
              </w:rPr>
              <w:br/>
            </w:r>
          </w:p>
          <w:p w14:paraId="731CD908" w14:textId="77777777" w:rsidR="00735340" w:rsidRDefault="00735340" w:rsidP="00735340">
            <w:pPr>
              <w:pStyle w:val="Default"/>
            </w:pPr>
          </w:p>
          <w:p w14:paraId="34BF0A0F" w14:textId="77777777" w:rsidR="00735340" w:rsidRPr="003E35F0" w:rsidRDefault="00735340" w:rsidP="00735340">
            <w:pPr>
              <w:pStyle w:val="Default"/>
            </w:pPr>
          </w:p>
          <w:p w14:paraId="1FF1A88F" w14:textId="77777777" w:rsidR="00735340" w:rsidRPr="0050053A" w:rsidRDefault="00735340" w:rsidP="00735340">
            <w:pPr>
              <w:pStyle w:val="Pa12"/>
              <w:rPr>
                <w:rStyle w:val="A4"/>
                <w:bCs/>
              </w:rPr>
            </w:pP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</w:p>
          <w:p w14:paraId="14DC37E4" w14:textId="77777777" w:rsidR="00735340" w:rsidRPr="0050053A" w:rsidRDefault="00735340" w:rsidP="00735340">
            <w:pPr>
              <w:pStyle w:val="Default"/>
              <w:rPr>
                <w:rStyle w:val="A4"/>
                <w:bCs/>
              </w:rPr>
            </w:pPr>
          </w:p>
          <w:p w14:paraId="5F58D34F" w14:textId="77777777" w:rsidR="00735340" w:rsidRPr="0050053A" w:rsidRDefault="00735340" w:rsidP="00735340">
            <w:pPr>
              <w:pStyle w:val="Default"/>
              <w:rPr>
                <w:sz w:val="22"/>
                <w:szCs w:val="22"/>
                <w:lang w:val="en-US" w:eastAsia="en-GB"/>
              </w:rPr>
            </w:pP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</w:p>
        </w:tc>
      </w:tr>
    </w:tbl>
    <w:p w14:paraId="7C36A9DC" w14:textId="32A70617" w:rsidR="00E0700F" w:rsidRDefault="00E0700F" w:rsidP="001564A4"/>
    <w:sectPr w:rsidR="00E070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tlas Grotesk Regular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4A4"/>
    <w:rsid w:val="001564A4"/>
    <w:rsid w:val="002D2395"/>
    <w:rsid w:val="00397FFA"/>
    <w:rsid w:val="00491A88"/>
    <w:rsid w:val="004D7744"/>
    <w:rsid w:val="0051574E"/>
    <w:rsid w:val="00735340"/>
    <w:rsid w:val="008803FA"/>
    <w:rsid w:val="00AD13CE"/>
    <w:rsid w:val="00B12E32"/>
    <w:rsid w:val="00B63834"/>
    <w:rsid w:val="00E0700F"/>
    <w:rsid w:val="00E81A94"/>
    <w:rsid w:val="00EB196E"/>
    <w:rsid w:val="00ED0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503087"/>
  <w15:docId w15:val="{74419BA7-F78B-42BA-95BA-6FCF5D924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tlas Grotesk Regular" w:eastAsiaTheme="minorHAnsi" w:hAnsi="Atlas Grotesk Regular" w:cstheme="minorBidi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64A4"/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564A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NZ"/>
    </w:rPr>
  </w:style>
  <w:style w:type="character" w:customStyle="1" w:styleId="A4">
    <w:name w:val="A4"/>
    <w:uiPriority w:val="99"/>
    <w:rsid w:val="001564A4"/>
    <w:rPr>
      <w:color w:val="000000"/>
      <w:sz w:val="22"/>
      <w:szCs w:val="22"/>
    </w:rPr>
  </w:style>
  <w:style w:type="paragraph" w:customStyle="1" w:styleId="Pa12">
    <w:name w:val="Pa12"/>
    <w:basedOn w:val="Default"/>
    <w:next w:val="Default"/>
    <w:uiPriority w:val="99"/>
    <w:rsid w:val="001564A4"/>
    <w:pPr>
      <w:spacing w:line="241" w:lineRule="atLeast"/>
    </w:pPr>
    <w:rPr>
      <w:color w:val="auto"/>
    </w:rPr>
  </w:style>
  <w:style w:type="paragraph" w:styleId="Revision">
    <w:name w:val="Revision"/>
    <w:hidden/>
    <w:uiPriority w:val="99"/>
    <w:semiHidden/>
    <w:rsid w:val="004D7744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4D77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D774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D7744"/>
    <w:rPr>
      <w:rFonts w:ascii="Times New Roman" w:eastAsia="Times New Roman" w:hAnsi="Times New Roman" w:cs="Times New Roman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77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7744"/>
    <w:rPr>
      <w:rFonts w:ascii="Times New Roman" w:eastAsia="Times New Roman" w:hAnsi="Times New Roman" w:cs="Times New Roman"/>
      <w:b/>
      <w:bCs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b52c9b-ab33-4221-8af9-54f8f2b86a80" xsi:nil="true"/>
    <lcf76f155ced4ddcb4097134ff3c332f xmlns="6911e96c-4cc4-42d5-8e43-f93924cf6a05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7" ma:contentTypeDescription="Create a new document." ma:contentTypeScope="" ma:versionID="778b9c0417b177e5ab6c535dc7377d88">
  <xsd:schema xmlns:xsd="http://www.w3.org/2001/XMLSchema" xmlns:xs="http://www.w3.org/2001/XMLSchema" xmlns:p="http://schemas.microsoft.com/office/2006/metadata/properties" xmlns:ns2="6911e96c-4cc4-42d5-8e43-f93924cf6a05" xmlns:ns3="9c8a2b7b-0bee-4c48-b0a6-23db8982d3bc" xmlns:ns4="cab52c9b-ab33-4221-8af9-54f8f2b86a80" targetNamespace="http://schemas.microsoft.com/office/2006/metadata/properties" ma:root="true" ma:fieldsID="fbe394e28ae68f14f8281989e71287a5" ns2:_="" ns3:_="" ns4:_="">
    <xsd:import namespace="6911e96c-4cc4-42d5-8e43-f93924cf6a05"/>
    <xsd:import namespace="9c8a2b7b-0bee-4c48-b0a6-23db8982d3bc"/>
    <xsd:import namespace="cab52c9b-ab33-4221-8af9-54f8f2b86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635817-86d4-483c-865d-47556d3f4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52c9b-ab33-4221-8af9-54f8f2b86a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b321a2a-d050-4ca1-b64d-75ec18c39cb6}" ma:internalName="TaxCatchAll" ma:showField="CatchAllData" ma:web="cab52c9b-ab33-4221-8af9-54f8f2b86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A961898-40DD-42B0-A9FA-52244C88F073}">
  <ds:schemaRefs>
    <ds:schemaRef ds:uri="http://schemas.microsoft.com/office/2006/metadata/properties"/>
    <ds:schemaRef ds:uri="http://schemas.microsoft.com/office/infopath/2007/PartnerControls"/>
    <ds:schemaRef ds:uri="cab52c9b-ab33-4221-8af9-54f8f2b86a80"/>
    <ds:schemaRef ds:uri="6911e96c-4cc4-42d5-8e43-f93924cf6a05"/>
  </ds:schemaRefs>
</ds:datastoreItem>
</file>

<file path=customXml/itemProps2.xml><?xml version="1.0" encoding="utf-8"?>
<ds:datastoreItem xmlns:ds="http://schemas.openxmlformats.org/officeDocument/2006/customXml" ds:itemID="{BAC8642D-6373-4036-996F-C4A2EA7516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cab52c9b-ab33-4221-8af9-54f8f2b86a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5C7D0F7-9D36-49A6-B504-6A025E2D928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308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Lele Talagi</dc:creator>
  <cp:keywords/>
  <dc:description/>
  <cp:lastModifiedBy>Dona Wijayasinghe</cp:lastModifiedBy>
  <cp:revision>2</cp:revision>
  <dcterms:created xsi:type="dcterms:W3CDTF">2023-10-19T01:29:00Z</dcterms:created>
  <dcterms:modified xsi:type="dcterms:W3CDTF">2023-10-19T01:29:00Z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  <property fmtid="{D5CDD505-2E9C-101B-9397-08002B2CF9AE}" pid="3" name="MediaServiceImageTags">
    <vt:lpwstr/>
  </property>
</Properties>
</file>