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2188E30B" w:rsidR="00C8423A" w:rsidRPr="00FA4115" w:rsidRDefault="00FA4115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FA411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53C74AAB" w14:textId="77777777" w:rsidR="00C8423A" w:rsidRDefault="0043386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6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</w:t>
            </w:r>
            <w:proofErr w:type="spellStart"/>
            <w:r w:rsidRPr="0043386A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n-US"/>
              </w:rPr>
              <w:t>nstitutional</w:t>
            </w:r>
            <w:proofErr w:type="spellEnd"/>
            <w:r w:rsidRPr="0043386A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n-US"/>
              </w:rPr>
              <w:t xml:space="preserve"> barriers, adaptive capacity &amp; resilience in Fraser Valley, British Columbia, Canada</w:t>
            </w:r>
            <w:r w:rsidRPr="004338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F7D1534" w14:textId="1E024FA9" w:rsidR="00FA4115" w:rsidRPr="0043386A" w:rsidRDefault="00FA4115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4EB54D19" w14:textId="77777777" w:rsidR="00FA4115" w:rsidRDefault="00FA4115" w:rsidP="00847EE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C68C4C" w14:textId="1F8865C7" w:rsidR="00282572" w:rsidRPr="00847EE7" w:rsidRDefault="0043386A" w:rsidP="00847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Climate change is increasing extreme weather risk (IPCC, 2022). </w:t>
            </w:r>
            <w:r w:rsidR="00282572"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In particular, atmospheric rivers </w:t>
            </w:r>
            <w:r w:rsidR="00282572" w:rsidRPr="00847EE7">
              <w:rPr>
                <w:rFonts w:ascii="Arial" w:hAnsi="Arial" w:cs="Arial"/>
                <w:sz w:val="22"/>
                <w:szCs w:val="22"/>
              </w:rPr>
              <w:t xml:space="preserve">are  increasing in frequency and magnitude in the North Pacific, and as a result, are exacerbating the risk of extreme precipitation events (Dettinger, 2011; Dettinger &amp; Ingram, 2013; Espinoza et al., 2018; Michaelis et al., 2022). Such events can easily damage local infrastructure – such as public buildings, roads and bridges, dams and dikes, and communication and power lines – and overwhelm emergency management systems. </w:t>
            </w:r>
          </w:p>
          <w:p w14:paraId="701EE77E" w14:textId="77777777" w:rsidR="00282572" w:rsidRPr="00847EE7" w:rsidRDefault="00282572" w:rsidP="00847EE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D37B2F" w14:textId="4ECC492A" w:rsidR="0043386A" w:rsidRPr="00847EE7" w:rsidRDefault="00282572" w:rsidP="00847E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47EE7">
              <w:rPr>
                <w:rFonts w:ascii="Arial" w:hAnsi="Arial" w:cs="Arial"/>
                <w:sz w:val="22"/>
                <w:szCs w:val="22"/>
                <w:lang w:val="en-US"/>
              </w:rPr>
              <w:t>Yet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>, resilience remains fragile, adaptation efforts lag, and the consequences of inaction surge (</w:t>
            </w:r>
            <w:r w:rsidR="00FB5082">
              <w:rPr>
                <w:rFonts w:ascii="Arial" w:hAnsi="Arial" w:cs="Arial"/>
                <w:sz w:val="22"/>
                <w:szCs w:val="22"/>
                <w:lang w:val="en-US"/>
              </w:rPr>
              <w:t xml:space="preserve">Birchall et al., 2023; 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>2025</w:t>
            </w:r>
            <w:r w:rsidR="00FB5082">
              <w:rPr>
                <w:rFonts w:ascii="Arial" w:hAnsi="Arial" w:cs="Arial"/>
                <w:sz w:val="22"/>
                <w:szCs w:val="22"/>
                <w:lang w:val="en-US"/>
              </w:rPr>
              <w:t>; Birchall &amp; Kehler, 2023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). In 2021, Fraser Valley, British Columbia, Canada, experienced an unprecedented – though anticipated – atmospheric river that exceeded risk-mitigation infrastructure and emergency management capacity. </w:t>
            </w:r>
            <w:r w:rsidR="0043386A" w:rsidRPr="00847EE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This talk explores a vital question: if they knew, why were they not prepared? </w:t>
            </w:r>
          </w:p>
          <w:p w14:paraId="50DC3589" w14:textId="105A9AEF" w:rsidR="0043386A" w:rsidRPr="00847EE7" w:rsidRDefault="00847EE7" w:rsidP="00847EE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sing a qualitative case study approach </w:t>
            </w:r>
            <w:r w:rsidR="0043386A" w:rsidRPr="00847EE7">
              <w:rPr>
                <w:rFonts w:ascii="Arial" w:hAnsi="Arial" w:cs="Arial"/>
                <w:sz w:val="22"/>
                <w:szCs w:val="22"/>
              </w:rPr>
              <w:t>grounded in urban and regional planning</w:t>
            </w:r>
            <w:r w:rsidR="00FB5082">
              <w:rPr>
                <w:rFonts w:ascii="Arial" w:hAnsi="Arial" w:cs="Arial"/>
                <w:sz w:val="22"/>
                <w:szCs w:val="22"/>
              </w:rPr>
              <w:t xml:space="preserve">, and framed through Cinner et al. (2018)’s </w:t>
            </w:r>
            <w:r w:rsidR="002127C1">
              <w:rPr>
                <w:rFonts w:ascii="Arial" w:hAnsi="Arial" w:cs="Arial"/>
                <w:sz w:val="22"/>
                <w:szCs w:val="22"/>
              </w:rPr>
              <w:t>domains of adaptive capacity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>, we bridge stories with strategy, employing key actor interviews (n=21) and a review of strategic planning documents (n=66) to uncover what went wrong</w:t>
            </w:r>
            <w:r w:rsidR="00282572"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 (Birchall et al., 2025)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43386A" w:rsidRPr="00847EE7">
              <w:rPr>
                <w:rFonts w:ascii="Arial" w:hAnsi="Arial" w:cs="Arial"/>
                <w:sz w:val="22"/>
                <w:szCs w:val="22"/>
              </w:rPr>
              <w:t xml:space="preserve">Key actors were deliberately selected to provide perspectives across several levels of government (municipal, regional, and provincial), and for having played a meaningful role regarding infrastructure and/or </w:t>
            </w:r>
            <w:r w:rsidR="00282572"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emergency management </w:t>
            </w:r>
            <w:r w:rsidR="0043386A" w:rsidRPr="00847EE7">
              <w:rPr>
                <w:rFonts w:ascii="Arial" w:hAnsi="Arial" w:cs="Arial"/>
                <w:sz w:val="22"/>
                <w:szCs w:val="22"/>
              </w:rPr>
              <w:t>decision-making that was impacted during the AR event (e.g., planners, engineers, emergency management, elected officials, scientists).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The strategic planning documents provided a </w:t>
            </w:r>
            <w:r w:rsidR="0043386A" w:rsidRPr="00847EE7">
              <w:rPr>
                <w:rFonts w:ascii="Arial" w:hAnsi="Arial" w:cs="Arial"/>
                <w:sz w:val="22"/>
                <w:szCs w:val="22"/>
              </w:rPr>
              <w:t>broader legislative and knowledge framework to contextualize and interpret the interview responses. This review included documents from both the provincial and regional governments</w:t>
            </w:r>
            <w:r w:rsidR="00282572" w:rsidRPr="00847E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BB4F5D" w14:textId="0DE23CF3" w:rsidR="009E57FE" w:rsidRPr="00847EE7" w:rsidRDefault="00847EE7" w:rsidP="00847EE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Our analysis reveals institutional barriers that limited adaptive capacity, stagnated adaptation implementation, and, in consequence, left infrastructure and emergency management insufficient to mitigate disaster.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Insights</w:t>
            </w:r>
            <w:r w:rsidRPr="00847EE7">
              <w:rPr>
                <w:rFonts w:ascii="Arial" w:hAnsi="Arial" w:cs="Arial"/>
                <w:sz w:val="22"/>
                <w:szCs w:val="22"/>
                <w:lang w:val="en-US"/>
              </w:rPr>
              <w:t xml:space="preserve"> around the </w:t>
            </w:r>
            <w:r w:rsidRPr="00847EE7">
              <w:rPr>
                <w:rFonts w:ascii="Arial" w:hAnsi="Arial" w:cs="Arial"/>
                <w:sz w:val="22"/>
                <w:szCs w:val="22"/>
              </w:rPr>
              <w:t>formal and informal institutions preventing adaptation implementation are discussed: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2572" w:rsidRPr="00847EE7">
              <w:rPr>
                <w:rFonts w:ascii="Arial" w:hAnsi="Arial" w:cs="Arial"/>
                <w:sz w:val="22"/>
                <w:szCs w:val="22"/>
              </w:rPr>
              <w:t>Formally, hierarchical governance decreased community adaptive capacity and led to infrastructure deficit, while informally, development-driven decision-making overshadowed infrastructure mitigation and preparedness priorities. Historical anthropocentric decisions persisted through path dependencies, preventing resilient decision-making during a time of rapid change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282572" w:rsidRPr="00847E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386A" w:rsidRPr="00847EE7">
              <w:rPr>
                <w:rFonts w:ascii="Arial" w:hAnsi="Arial" w:cs="Arial"/>
                <w:sz w:val="22"/>
                <w:szCs w:val="22"/>
                <w:lang w:val="en-US"/>
              </w:rPr>
              <w:t>We conclude with actionable recommendations to dismantle institutional barriers and empower communities to prepare for climate change.</w:t>
            </w:r>
          </w:p>
          <w:p w14:paraId="5B0E942F" w14:textId="77777777" w:rsidR="0043386A" w:rsidRPr="00847EE7" w:rsidRDefault="0043386A" w:rsidP="00847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8BA233" w14:textId="1C8F1603" w:rsidR="009E57FE" w:rsidRPr="00FB5082" w:rsidRDefault="00CB75EA" w:rsidP="00847EE7">
            <w:pPr>
              <w:rPr>
                <w:rFonts w:ascii="Arial" w:hAnsi="Arial" w:cs="Arial"/>
                <w:sz w:val="22"/>
                <w:szCs w:val="22"/>
              </w:rPr>
            </w:pPr>
            <w:r w:rsidRPr="00FB5082">
              <w:rPr>
                <w:rFonts w:ascii="Arial" w:hAnsi="Arial" w:cs="Arial"/>
                <w:sz w:val="22"/>
                <w:szCs w:val="22"/>
              </w:rPr>
              <w:t>References:</w:t>
            </w:r>
          </w:p>
          <w:p w14:paraId="774C0156" w14:textId="78CF9656" w:rsidR="00FB5082" w:rsidRP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FB508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Birchall, S. J., Bonnett, N., &amp; Kehler, S. (2023). </w:t>
            </w:r>
            <w:r w:rsidRPr="00FB50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influence of governance structure on local resilience: Enabling and constraining factors for climate change adaptation in practice. </w:t>
            </w:r>
            <w:r w:rsidRPr="00FB508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Urban Climate</w:t>
            </w:r>
            <w:r w:rsidRPr="00FB50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Pr="00FB5082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lang w:val="en-US"/>
                </w:rPr>
                <w:t>https://doi.org/10.1016/j.uclim.2022.101348</w:t>
              </w:r>
            </w:hyperlink>
            <w:r w:rsidRPr="00FB50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1CED1F58" w14:textId="77777777" w:rsidR="00FB5082" w:rsidRDefault="00FB5082" w:rsidP="00FB5082">
            <w:pPr>
              <w:ind w:left="709" w:hanging="709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B50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Birchall, S. J, &amp; Kehler, S. (2023). Denial and discretion as a governance process: How actor perceptions of risk and responsibility hinder adaptation to climate change. </w:t>
            </w:r>
            <w:r w:rsidRPr="00FB508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Environmental Science &amp; Policy. </w:t>
            </w:r>
            <w:hyperlink r:id="rId9" w:history="1">
              <w:r w:rsidRPr="00FB5082">
                <w:rPr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https://doi.org/10.1016/j.envsci.2023.05.017</w:t>
              </w:r>
            </w:hyperlink>
            <w:r w:rsidRPr="00FB50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05823FAA" w14:textId="77777777" w:rsid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B50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Birchall, S. J., Kehler, S., Weissenberger, S. (2025). “Sometimes, I just want to scream”: Institutional barriers limiting adaptive capacity and resilience to extreme </w:t>
            </w:r>
            <w:r w:rsidRPr="00FB5082">
              <w:rPr>
                <w:rFonts w:ascii="Arial" w:hAnsi="Arial" w:cs="Arial"/>
                <w:sz w:val="22"/>
                <w:szCs w:val="22"/>
                <w:lang w:val="en-US"/>
              </w:rPr>
              <w:t xml:space="preserve">events.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Global Environmental Change. </w:t>
            </w:r>
            <w:hyperlink r:id="rId10" w:history="1">
              <w:r w:rsidRPr="00FB5082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https://doi.org/10.1016/j.gloenvcha.2025.102967</w:t>
              </w:r>
            </w:hyperlink>
            <w:r w:rsidRPr="00FB508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7DE1BB1C" w14:textId="25B66213" w:rsid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FB5082">
              <w:rPr>
                <w:rFonts w:ascii="Arial" w:hAnsi="Arial" w:cs="Arial"/>
                <w:sz w:val="22"/>
                <w:szCs w:val="22"/>
              </w:rPr>
              <w:t xml:space="preserve">Cinner, J.E., Adger, W.N., Allison, E.H., Barnes, M.L., Brown, K., Cohen, P.J., </w:t>
            </w:r>
            <w:proofErr w:type="spellStart"/>
            <w:r w:rsidRPr="00FB5082">
              <w:rPr>
                <w:rFonts w:ascii="Arial" w:hAnsi="Arial" w:cs="Arial"/>
                <w:sz w:val="22"/>
                <w:szCs w:val="22"/>
              </w:rPr>
              <w:t>Gelcich</w:t>
            </w:r>
            <w:proofErr w:type="spellEnd"/>
            <w:r w:rsidRPr="00FB5082">
              <w:rPr>
                <w:rFonts w:ascii="Arial" w:hAnsi="Arial" w:cs="Arial"/>
                <w:sz w:val="22"/>
                <w:szCs w:val="22"/>
              </w:rPr>
              <w:t xml:space="preserve">, S., Hicks, C.C., Hughes, T.P., Lau, J., Marshall, N.A., Morrison, T.H.,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B5082">
              <w:rPr>
                <w:rFonts w:ascii="Arial" w:hAnsi="Arial" w:cs="Arial"/>
                <w:sz w:val="22"/>
                <w:szCs w:val="22"/>
              </w:rPr>
              <w:t>2018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. Building adaptive capacity to climate change in tropical coastal communities. Nat. Clim. Chang. 8 (2), 117–123. </w:t>
            </w:r>
            <w:hyperlink r:id="rId11" w:history="1">
              <w:r w:rsidRPr="0086259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https://doi.org/10.1038/s41558-017-0065-x</w:t>
              </w:r>
            </w:hyperlink>
            <w:r w:rsidRPr="00FB5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6269FC" w14:textId="0F886044" w:rsidR="00FB5082" w:rsidRP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FB5082">
              <w:rPr>
                <w:rFonts w:ascii="Arial" w:hAnsi="Arial" w:cs="Arial"/>
                <w:sz w:val="22"/>
                <w:szCs w:val="22"/>
              </w:rPr>
              <w:t xml:space="preserve">Dettinger, M. (2011). Climate Change, Atmospheric Rivers, and Floods in California – A </w:t>
            </w:r>
            <w:proofErr w:type="spellStart"/>
            <w:r w:rsidRPr="00FB5082">
              <w:rPr>
                <w:rFonts w:ascii="Arial" w:hAnsi="Arial" w:cs="Arial"/>
                <w:sz w:val="22"/>
                <w:szCs w:val="22"/>
              </w:rPr>
              <w:t>Multimodel</w:t>
            </w:r>
            <w:proofErr w:type="spellEnd"/>
            <w:r w:rsidRPr="00FB5082">
              <w:rPr>
                <w:rFonts w:ascii="Arial" w:hAnsi="Arial" w:cs="Arial"/>
                <w:sz w:val="22"/>
                <w:szCs w:val="22"/>
              </w:rPr>
              <w:t xml:space="preserve"> Analysis of Storm Frequency and Magnitude Changes.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Journal of the American Water Resources Association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47(3)</w:t>
            </w:r>
            <w:r w:rsidRPr="00FB5082">
              <w:rPr>
                <w:rFonts w:ascii="Arial" w:hAnsi="Arial" w:cs="Arial"/>
                <w:sz w:val="22"/>
                <w:szCs w:val="22"/>
              </w:rPr>
              <w:t>, 514-523.</w:t>
            </w:r>
          </w:p>
          <w:p w14:paraId="2EF53528" w14:textId="77777777" w:rsidR="00FB5082" w:rsidRP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FB5082">
              <w:rPr>
                <w:rFonts w:ascii="Arial" w:hAnsi="Arial" w:cs="Arial"/>
                <w:sz w:val="22"/>
                <w:szCs w:val="22"/>
              </w:rPr>
              <w:t xml:space="preserve">Dettinger, M. D., &amp; Ingram, B. L. (2013). The Coming </w:t>
            </w:r>
            <w:proofErr w:type="spellStart"/>
            <w:r w:rsidRPr="00FB5082">
              <w:rPr>
                <w:rFonts w:ascii="Arial" w:hAnsi="Arial" w:cs="Arial"/>
                <w:sz w:val="22"/>
                <w:szCs w:val="22"/>
              </w:rPr>
              <w:t>Megafloods</w:t>
            </w:r>
            <w:proofErr w:type="spellEnd"/>
            <w:r w:rsidRPr="00FB508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Scientific American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308</w:t>
            </w:r>
            <w:r w:rsidRPr="00FB5082">
              <w:rPr>
                <w:rFonts w:ascii="Arial" w:hAnsi="Arial" w:cs="Arial"/>
                <w:sz w:val="22"/>
                <w:szCs w:val="22"/>
              </w:rPr>
              <w:t>(1), 64–71.</w:t>
            </w:r>
          </w:p>
          <w:p w14:paraId="73BA94DD" w14:textId="3A57E17D" w:rsidR="00FB5082" w:rsidRP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FB5082">
              <w:rPr>
                <w:rFonts w:ascii="Arial" w:hAnsi="Arial" w:cs="Arial"/>
                <w:sz w:val="22"/>
                <w:szCs w:val="22"/>
              </w:rPr>
              <w:t xml:space="preserve">Espinoza, V., Waliser, D. E., Guan, B., Lavers, D. A., &amp; Ralph, F. M. (2018). Global Analysis of Climate Change Projection Effects on Atmospheric Rivers.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Geophysical Research Letters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45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(9), 4299–4308. </w:t>
            </w:r>
            <w:hyperlink r:id="rId12" w:history="1">
              <w:r w:rsidRPr="00FB508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https://doi.org/10.1029/2017GL076968</w:t>
              </w:r>
            </w:hyperlink>
            <w:r w:rsidRPr="00FB5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6F8239" w14:textId="77777777" w:rsidR="00FB5082" w:rsidRP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FB5082">
              <w:rPr>
                <w:rFonts w:ascii="Arial" w:hAnsi="Arial" w:cs="Arial"/>
                <w:sz w:val="22"/>
                <w:szCs w:val="22"/>
              </w:rPr>
              <w:t xml:space="preserve">IPCC. (2022).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Impacts, Adaptation and Vulnerability: Summary for Policymakers</w:t>
            </w:r>
            <w:r w:rsidRPr="00FB5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71BAAB" w14:textId="637C2A4C" w:rsidR="00FB5082" w:rsidRPr="00FB5082" w:rsidRDefault="00FB5082" w:rsidP="00FB5082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FB5082">
              <w:rPr>
                <w:rFonts w:ascii="Arial" w:hAnsi="Arial" w:cs="Arial"/>
                <w:sz w:val="22"/>
                <w:szCs w:val="22"/>
              </w:rPr>
              <w:t xml:space="preserve">Michaelis, A. C., Gershunov, A., Weyant, A., Fish, M. A., Shulgina, T., &amp; Ralph, F. M. (2022). Atmospheric River Precipitation Enhanced by Climate Change: A Case Study of the Storm That Contributed to California’s Oroville Dam Crisis.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Earth’s Future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B5082">
              <w:rPr>
                <w:rFonts w:ascii="Arial" w:hAnsi="Arial" w:cs="Arial"/>
                <w:i/>
                <w:iCs/>
                <w:sz w:val="22"/>
                <w:szCs w:val="22"/>
              </w:rPr>
              <w:t>10</w:t>
            </w:r>
            <w:r w:rsidRPr="00FB5082">
              <w:rPr>
                <w:rFonts w:ascii="Arial" w:hAnsi="Arial" w:cs="Arial"/>
                <w:sz w:val="22"/>
                <w:szCs w:val="22"/>
              </w:rPr>
              <w:t xml:space="preserve">(3), e2021EF002537. </w:t>
            </w:r>
            <w:hyperlink r:id="rId13" w:history="1">
              <w:r w:rsidRPr="00FB508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https://doi.org/10.1029/2021EF002537</w:t>
              </w:r>
            </w:hyperlink>
          </w:p>
          <w:p w14:paraId="1AE88CBA" w14:textId="666B7E41" w:rsidR="00847EE7" w:rsidRPr="00FB5082" w:rsidRDefault="00847EE7" w:rsidP="00847EE7">
            <w:pPr>
              <w:ind w:left="709" w:hanging="709"/>
              <w:rPr>
                <w:rFonts w:ascii="Arial" w:hAnsi="Arial" w:cs="Arial"/>
                <w:sz w:val="22"/>
                <w:szCs w:val="22"/>
                <w:lang w:eastAsia="en-CA"/>
              </w:rPr>
            </w:pPr>
          </w:p>
          <w:p w14:paraId="2CBAECD6" w14:textId="729DADBB" w:rsidR="009F4EA0" w:rsidRPr="00847EE7" w:rsidRDefault="009F4EA0" w:rsidP="00FA4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E9D"/>
    <w:multiLevelType w:val="multilevel"/>
    <w:tmpl w:val="28D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3"/>
  </w:num>
  <w:num w:numId="3" w16cid:durableId="1316374630">
    <w:abstractNumId w:val="2"/>
  </w:num>
  <w:num w:numId="4" w16cid:durableId="35724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2127C1"/>
    <w:rsid w:val="00247C60"/>
    <w:rsid w:val="00256963"/>
    <w:rsid w:val="00282572"/>
    <w:rsid w:val="002E3AA3"/>
    <w:rsid w:val="00317356"/>
    <w:rsid w:val="0034503D"/>
    <w:rsid w:val="00354C31"/>
    <w:rsid w:val="00375B20"/>
    <w:rsid w:val="00386D01"/>
    <w:rsid w:val="003C6D8E"/>
    <w:rsid w:val="004049E7"/>
    <w:rsid w:val="0043386A"/>
    <w:rsid w:val="0044343A"/>
    <w:rsid w:val="00462B90"/>
    <w:rsid w:val="004828A0"/>
    <w:rsid w:val="004B69C7"/>
    <w:rsid w:val="004D193B"/>
    <w:rsid w:val="004F4CE8"/>
    <w:rsid w:val="004F5C81"/>
    <w:rsid w:val="0053222C"/>
    <w:rsid w:val="00540D39"/>
    <w:rsid w:val="005469BD"/>
    <w:rsid w:val="00550B17"/>
    <w:rsid w:val="005854B8"/>
    <w:rsid w:val="0065012F"/>
    <w:rsid w:val="0068043B"/>
    <w:rsid w:val="00681CA7"/>
    <w:rsid w:val="008235E8"/>
    <w:rsid w:val="00847EE7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7A6"/>
    <w:rsid w:val="00906B39"/>
    <w:rsid w:val="00963443"/>
    <w:rsid w:val="009C374A"/>
    <w:rsid w:val="009E57FE"/>
    <w:rsid w:val="009F4EA0"/>
    <w:rsid w:val="00A00449"/>
    <w:rsid w:val="00A12EC1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B75EA"/>
    <w:rsid w:val="00CE53FE"/>
    <w:rsid w:val="00D716AD"/>
    <w:rsid w:val="00DB7929"/>
    <w:rsid w:val="00DD1BB3"/>
    <w:rsid w:val="00E612FF"/>
    <w:rsid w:val="00EB1B31"/>
    <w:rsid w:val="00F818D6"/>
    <w:rsid w:val="00FA372B"/>
    <w:rsid w:val="00FA4115"/>
    <w:rsid w:val="00F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38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5082"/>
  </w:style>
  <w:style w:type="character" w:styleId="Hyperlink">
    <w:name w:val="Hyperlink"/>
    <w:basedOn w:val="DefaultParagraphFont"/>
    <w:uiPriority w:val="99"/>
    <w:unhideWhenUsed/>
    <w:rsid w:val="00FB5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uclim.2022.101348" TargetMode="External"/><Relationship Id="rId13" Type="http://schemas.openxmlformats.org/officeDocument/2006/relationships/hyperlink" Target="https://doi.org/10.1029/2021EF0025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29/2017GL07696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38/s41558-017-0065-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gloenvcha.2025.1029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envsci.2023.05.0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8C033-FCA6-4531-89AB-92CB5CD60DE7}"/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dcterms:created xsi:type="dcterms:W3CDTF">2025-01-28T20:53:00Z</dcterms:created>
  <dcterms:modified xsi:type="dcterms:W3CDTF">2025-08-08T20:48:00Z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