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1DED62AC" w:rsidR="001564A4" w:rsidRPr="002E47C3" w:rsidRDefault="002E47C3" w:rsidP="002E47C3">
            <w:pPr>
              <w:keepNext/>
              <w:numPr>
                <w:ilvl w:val="1"/>
                <w:numId w:val="0"/>
              </w:numPr>
              <w:spacing w:after="120"/>
              <w:ind w:left="576" w:hanging="576"/>
              <w:jc w:val="center"/>
              <w:outlineLvl w:val="1"/>
              <w:rPr>
                <w:rFonts w:asciiTheme="minorBidi" w:hAnsiTheme="minorBidi" w:cstheme="minorBidi"/>
                <w:b/>
                <w:bCs/>
                <w:i/>
                <w:iCs/>
                <w:sz w:val="22"/>
                <w:szCs w:val="22"/>
                <w:lang w:val="en-US" w:eastAsia="de-CH"/>
              </w:rPr>
            </w:pPr>
            <w:r w:rsidRPr="002E47C3">
              <w:rPr>
                <w:rFonts w:asciiTheme="minorBidi" w:hAnsiTheme="minorBidi" w:cstheme="minorBidi"/>
                <w:b/>
                <w:bCs/>
                <w:i/>
                <w:iCs/>
                <w:sz w:val="22"/>
                <w:szCs w:val="22"/>
                <w:lang w:val="en-AU"/>
              </w:rPr>
              <w:t xml:space="preserve">Hypercapnia is not excluded by </w:t>
            </w:r>
            <w:proofErr w:type="spellStart"/>
            <w:r w:rsidRPr="002E47C3">
              <w:rPr>
                <w:rFonts w:asciiTheme="minorBidi" w:hAnsiTheme="minorBidi" w:cstheme="minorBidi"/>
                <w:b/>
                <w:bCs/>
                <w:i/>
                <w:iCs/>
                <w:sz w:val="22"/>
                <w:szCs w:val="22"/>
                <w:lang w:val="en-AU"/>
              </w:rPr>
              <w:t>normoxia</w:t>
            </w:r>
            <w:proofErr w:type="spellEnd"/>
            <w:r w:rsidRPr="002E47C3">
              <w:rPr>
                <w:rFonts w:asciiTheme="minorBidi" w:hAnsiTheme="minorBidi" w:cstheme="minorBidi"/>
                <w:b/>
                <w:bCs/>
                <w:i/>
                <w:iCs/>
                <w:sz w:val="22"/>
                <w:szCs w:val="22"/>
                <w:lang w:val="en-AU"/>
              </w:rPr>
              <w:t xml:space="preserve"> in neuromuscular disease patients: implications for oximetry.</w:t>
            </w:r>
          </w:p>
        </w:tc>
      </w:tr>
      <w:tr w:rsidR="001564A4" w:rsidRPr="0050053A" w14:paraId="0E2E035C" w14:textId="77777777" w:rsidTr="000A28E2">
        <w:trPr>
          <w:jc w:val="center"/>
        </w:trPr>
        <w:tc>
          <w:tcPr>
            <w:tcW w:w="8640" w:type="dxa"/>
            <w:shd w:val="clear" w:color="auto" w:fill="auto"/>
          </w:tcPr>
          <w:p w14:paraId="73B55295" w14:textId="54A7642C" w:rsidR="001564A4" w:rsidRPr="002E47C3" w:rsidRDefault="002E47C3" w:rsidP="002E47C3">
            <w:pPr>
              <w:spacing w:after="120"/>
              <w:jc w:val="center"/>
              <w:rPr>
                <w:rFonts w:asciiTheme="minorBidi" w:hAnsiTheme="minorBidi" w:cstheme="minorBidi"/>
                <w:sz w:val="22"/>
                <w:szCs w:val="22"/>
                <w:vertAlign w:val="superscript"/>
                <w:lang w:val="en-US" w:eastAsia="de-CH"/>
              </w:rPr>
            </w:pPr>
            <w:r w:rsidRPr="002E47C3">
              <w:rPr>
                <w:rFonts w:asciiTheme="minorBidi" w:hAnsiTheme="minorBidi" w:cstheme="minorBidi"/>
                <w:sz w:val="22"/>
                <w:szCs w:val="22"/>
                <w:lang w:val="en-US" w:eastAsia="de-CH"/>
              </w:rPr>
              <w:t>Emma Gray</w:t>
            </w:r>
            <w:r w:rsidRPr="002E47C3">
              <w:rPr>
                <w:rFonts w:asciiTheme="minorBidi" w:hAnsiTheme="minorBidi" w:cstheme="minorBidi"/>
                <w:sz w:val="22"/>
                <w:szCs w:val="22"/>
                <w:vertAlign w:val="superscript"/>
                <w:lang w:val="en-US" w:eastAsia="de-CH"/>
              </w:rPr>
              <w:t>1</w:t>
            </w:r>
            <w:r w:rsidRPr="002E47C3">
              <w:rPr>
                <w:rFonts w:asciiTheme="minorBidi" w:hAnsiTheme="minorBidi" w:cstheme="minorBidi"/>
                <w:sz w:val="22"/>
                <w:szCs w:val="22"/>
                <w:vertAlign w:val="superscript"/>
                <w:lang w:val="en-US" w:eastAsia="de-CH"/>
              </w:rPr>
              <w:t>,</w:t>
            </w:r>
            <w:r w:rsidRPr="002E47C3">
              <w:rPr>
                <w:rFonts w:asciiTheme="minorBidi" w:hAnsiTheme="minorBidi" w:cstheme="minorBidi"/>
                <w:sz w:val="22"/>
                <w:szCs w:val="22"/>
                <w:vertAlign w:val="superscript"/>
                <w:lang w:val="en-US" w:eastAsia="de-CH"/>
              </w:rPr>
              <w:t>2</w:t>
            </w:r>
            <w:r w:rsidRPr="002E47C3">
              <w:rPr>
                <w:rFonts w:asciiTheme="minorBidi" w:hAnsiTheme="minorBidi" w:cstheme="minorBidi"/>
                <w:sz w:val="22"/>
                <w:szCs w:val="22"/>
                <w:lang w:val="en-US" w:eastAsia="de-CH"/>
              </w:rPr>
              <w:t>, Collette Menadue</w:t>
            </w:r>
            <w:r w:rsidRPr="002E47C3">
              <w:rPr>
                <w:rFonts w:asciiTheme="minorBidi" w:hAnsiTheme="minorBidi" w:cstheme="minorBidi"/>
                <w:sz w:val="22"/>
                <w:szCs w:val="22"/>
                <w:vertAlign w:val="superscript"/>
                <w:lang w:val="en-US" w:eastAsia="de-CH"/>
              </w:rPr>
              <w:t>1</w:t>
            </w:r>
            <w:r w:rsidRPr="002E47C3">
              <w:rPr>
                <w:rFonts w:asciiTheme="minorBidi" w:hAnsiTheme="minorBidi" w:cstheme="minorBidi"/>
                <w:sz w:val="22"/>
                <w:szCs w:val="22"/>
                <w:lang w:val="en-US" w:eastAsia="de-CH"/>
              </w:rPr>
              <w:t>, Amanda Piper</w:t>
            </w:r>
            <w:r w:rsidRPr="002E47C3">
              <w:rPr>
                <w:rFonts w:asciiTheme="minorBidi" w:hAnsiTheme="minorBidi" w:cstheme="minorBidi"/>
                <w:sz w:val="22"/>
                <w:szCs w:val="22"/>
                <w:vertAlign w:val="superscript"/>
                <w:lang w:val="en-US" w:eastAsia="de-CH"/>
              </w:rPr>
              <w:t>1</w:t>
            </w:r>
            <w:r w:rsidRPr="002E47C3">
              <w:rPr>
                <w:rFonts w:asciiTheme="minorBidi" w:hAnsiTheme="minorBidi" w:cstheme="minorBidi"/>
                <w:sz w:val="22"/>
                <w:szCs w:val="22"/>
                <w:lang w:val="en-US" w:eastAsia="de-CH"/>
              </w:rPr>
              <w:t>, Keith Wong</w:t>
            </w:r>
            <w:r w:rsidRPr="002E47C3">
              <w:rPr>
                <w:rFonts w:asciiTheme="minorBidi" w:hAnsiTheme="minorBidi" w:cstheme="minorBidi"/>
                <w:sz w:val="22"/>
                <w:szCs w:val="22"/>
                <w:vertAlign w:val="superscript"/>
                <w:lang w:val="en-US" w:eastAsia="de-CH"/>
              </w:rPr>
              <w:t>1,2,3</w:t>
            </w:r>
            <w:r w:rsidRPr="002E47C3">
              <w:rPr>
                <w:rFonts w:asciiTheme="minorBidi" w:hAnsiTheme="minorBidi" w:cstheme="minorBidi"/>
                <w:sz w:val="22"/>
                <w:szCs w:val="22"/>
                <w:lang w:val="en-US" w:eastAsia="de-CH"/>
              </w:rPr>
              <w:t>, Matthew Kiernan</w:t>
            </w:r>
            <w:r w:rsidRPr="002E47C3">
              <w:rPr>
                <w:rFonts w:asciiTheme="minorBidi" w:hAnsiTheme="minorBidi" w:cstheme="minorBidi"/>
                <w:sz w:val="22"/>
                <w:szCs w:val="22"/>
                <w:vertAlign w:val="superscript"/>
                <w:lang w:val="en-US" w:eastAsia="de-CH"/>
              </w:rPr>
              <w:t>2,4,5</w:t>
            </w:r>
            <w:r w:rsidRPr="002E47C3">
              <w:rPr>
                <w:rFonts w:asciiTheme="minorBidi" w:hAnsiTheme="minorBidi" w:cstheme="minorBidi"/>
                <w:sz w:val="22"/>
                <w:szCs w:val="22"/>
                <w:lang w:val="en-US" w:eastAsia="de-CH"/>
              </w:rPr>
              <w:t>, Brendon Yee</w:t>
            </w:r>
            <w:r w:rsidRPr="002E47C3">
              <w:rPr>
                <w:rFonts w:asciiTheme="minorBidi" w:hAnsiTheme="minorBidi" w:cstheme="minorBidi"/>
                <w:sz w:val="22"/>
                <w:szCs w:val="22"/>
                <w:vertAlign w:val="superscript"/>
                <w:lang w:val="en-US" w:eastAsia="de-CH"/>
              </w:rPr>
              <w:t>1,2,3</w:t>
            </w:r>
          </w:p>
        </w:tc>
      </w:tr>
      <w:tr w:rsidR="001564A4" w:rsidRPr="0050053A" w14:paraId="385A19D9" w14:textId="77777777" w:rsidTr="000A28E2">
        <w:trPr>
          <w:trHeight w:val="136"/>
          <w:jc w:val="center"/>
        </w:trPr>
        <w:tc>
          <w:tcPr>
            <w:tcW w:w="8640" w:type="dxa"/>
            <w:shd w:val="clear" w:color="auto" w:fill="auto"/>
          </w:tcPr>
          <w:p w14:paraId="06D5DD98" w14:textId="773B568B" w:rsidR="002E47C3" w:rsidRPr="002E47C3" w:rsidRDefault="002E47C3" w:rsidP="002E47C3">
            <w:pPr>
              <w:spacing w:after="120"/>
              <w:rPr>
                <w:rFonts w:asciiTheme="minorBidi" w:hAnsiTheme="minorBidi" w:cstheme="minorBidi"/>
                <w:sz w:val="22"/>
                <w:szCs w:val="22"/>
                <w:lang w:val="en-US" w:eastAsia="de-CH"/>
              </w:rPr>
            </w:pPr>
            <w:r w:rsidRPr="002E47C3">
              <w:rPr>
                <w:rFonts w:asciiTheme="minorBidi" w:hAnsiTheme="minorBidi" w:cstheme="minorBidi"/>
                <w:sz w:val="22"/>
                <w:szCs w:val="22"/>
                <w:vertAlign w:val="superscript"/>
                <w:lang w:val="en-US" w:eastAsia="de-CH"/>
              </w:rPr>
              <w:t>1</w:t>
            </w:r>
            <w:r w:rsidRPr="002E47C3">
              <w:rPr>
                <w:rFonts w:asciiTheme="minorBidi" w:hAnsiTheme="minorBidi" w:cstheme="minorBidi"/>
                <w:sz w:val="22"/>
                <w:szCs w:val="22"/>
                <w:lang w:val="en-US" w:eastAsia="de-CH"/>
              </w:rPr>
              <w:t xml:space="preserve"> Department of Respiratory and Sleep Medicine, Royal Prince Alfred Hospital, Camperdown, (NSW), Australia</w:t>
            </w:r>
          </w:p>
          <w:p w14:paraId="55A2C80A" w14:textId="12BBE63E" w:rsidR="002E47C3" w:rsidRPr="002E47C3" w:rsidRDefault="002E47C3" w:rsidP="002E47C3">
            <w:pPr>
              <w:spacing w:after="120"/>
              <w:rPr>
                <w:rFonts w:asciiTheme="minorBidi" w:hAnsiTheme="minorBidi" w:cstheme="minorBidi"/>
                <w:sz w:val="22"/>
                <w:szCs w:val="22"/>
                <w:lang w:val="en-US" w:eastAsia="de-CH"/>
              </w:rPr>
            </w:pPr>
            <w:r w:rsidRPr="002E47C3">
              <w:rPr>
                <w:rFonts w:asciiTheme="minorBidi" w:hAnsiTheme="minorBidi" w:cstheme="minorBidi"/>
                <w:sz w:val="22"/>
                <w:szCs w:val="22"/>
                <w:vertAlign w:val="superscript"/>
                <w:lang w:val="en-US" w:eastAsia="de-CH"/>
              </w:rPr>
              <w:t>2</w:t>
            </w:r>
            <w:r w:rsidRPr="002E47C3">
              <w:rPr>
                <w:rFonts w:asciiTheme="minorBidi" w:hAnsiTheme="minorBidi" w:cstheme="minorBidi"/>
                <w:sz w:val="22"/>
                <w:szCs w:val="22"/>
                <w:lang w:val="en-US" w:eastAsia="de-CH"/>
              </w:rPr>
              <w:t xml:space="preserve"> Central Clinical Medical School, The University of Sydney, Camperdown, (NSW), Australia</w:t>
            </w:r>
          </w:p>
          <w:p w14:paraId="60E10DD5" w14:textId="3E89885F" w:rsidR="002E47C3" w:rsidRPr="002E47C3" w:rsidRDefault="002E47C3" w:rsidP="002E47C3">
            <w:pPr>
              <w:spacing w:after="120"/>
              <w:rPr>
                <w:rFonts w:asciiTheme="minorBidi" w:hAnsiTheme="minorBidi" w:cstheme="minorBidi"/>
                <w:sz w:val="22"/>
                <w:szCs w:val="22"/>
                <w:lang w:val="en-US" w:eastAsia="de-CH"/>
              </w:rPr>
            </w:pPr>
            <w:r w:rsidRPr="002E47C3">
              <w:rPr>
                <w:rFonts w:asciiTheme="minorBidi" w:hAnsiTheme="minorBidi" w:cstheme="minorBidi"/>
                <w:sz w:val="22"/>
                <w:szCs w:val="22"/>
                <w:vertAlign w:val="superscript"/>
                <w:lang w:val="en-US" w:eastAsia="de-CH"/>
              </w:rPr>
              <w:t>3</w:t>
            </w:r>
            <w:r w:rsidRPr="002E47C3">
              <w:rPr>
                <w:rFonts w:asciiTheme="minorBidi" w:hAnsiTheme="minorBidi" w:cstheme="minorBidi"/>
                <w:sz w:val="22"/>
                <w:szCs w:val="22"/>
                <w:vertAlign w:val="superscript"/>
                <w:lang w:val="en-US" w:eastAsia="de-CH"/>
              </w:rPr>
              <w:t xml:space="preserve"> </w:t>
            </w:r>
            <w:r w:rsidRPr="002E47C3">
              <w:rPr>
                <w:rFonts w:asciiTheme="minorBidi" w:hAnsiTheme="minorBidi" w:cstheme="minorBidi"/>
                <w:sz w:val="22"/>
                <w:szCs w:val="22"/>
                <w:lang w:val="en-US" w:eastAsia="de-CH"/>
              </w:rPr>
              <w:t>Sleep Research Group, Woolcock Institute of Medical Research, Glebe, (NSW), Australia</w:t>
            </w:r>
          </w:p>
          <w:p w14:paraId="34DC9B4B" w14:textId="1234CFEB" w:rsidR="002E47C3" w:rsidRPr="002E47C3" w:rsidRDefault="002E47C3" w:rsidP="002E47C3">
            <w:pPr>
              <w:spacing w:after="120"/>
              <w:rPr>
                <w:rFonts w:asciiTheme="minorBidi" w:hAnsiTheme="minorBidi" w:cstheme="minorBidi"/>
                <w:sz w:val="22"/>
                <w:szCs w:val="22"/>
                <w:lang w:val="en-US" w:eastAsia="de-CH"/>
              </w:rPr>
            </w:pPr>
            <w:r w:rsidRPr="002E47C3">
              <w:rPr>
                <w:rFonts w:asciiTheme="minorBidi" w:hAnsiTheme="minorBidi" w:cstheme="minorBidi"/>
                <w:sz w:val="22"/>
                <w:szCs w:val="22"/>
                <w:vertAlign w:val="superscript"/>
                <w:lang w:val="en-US" w:eastAsia="de-CH"/>
              </w:rPr>
              <w:t>4</w:t>
            </w:r>
            <w:r w:rsidRPr="002E47C3">
              <w:rPr>
                <w:rFonts w:asciiTheme="minorBidi" w:hAnsiTheme="minorBidi" w:cstheme="minorBidi"/>
                <w:sz w:val="22"/>
                <w:szCs w:val="22"/>
                <w:vertAlign w:val="superscript"/>
                <w:lang w:val="en-US" w:eastAsia="de-CH"/>
              </w:rPr>
              <w:t xml:space="preserve"> </w:t>
            </w:r>
            <w:r w:rsidRPr="002E47C3">
              <w:rPr>
                <w:rFonts w:asciiTheme="minorBidi" w:hAnsiTheme="minorBidi" w:cstheme="minorBidi"/>
                <w:sz w:val="22"/>
                <w:szCs w:val="22"/>
                <w:lang w:val="en-US" w:eastAsia="de-CH"/>
              </w:rPr>
              <w:t>Department of Neurology, Royal Prince Alfred Hospital, Camperdown, (NSW), Australia</w:t>
            </w:r>
          </w:p>
          <w:p w14:paraId="45ED36BF" w14:textId="0747C7E4" w:rsidR="001564A4" w:rsidRPr="002E47C3" w:rsidRDefault="002E47C3" w:rsidP="002E47C3">
            <w:pPr>
              <w:spacing w:after="120"/>
              <w:rPr>
                <w:rFonts w:asciiTheme="minorBidi" w:hAnsiTheme="minorBidi" w:cstheme="minorBidi"/>
                <w:sz w:val="22"/>
                <w:szCs w:val="22"/>
                <w:lang w:val="en-US" w:eastAsia="de-CH"/>
              </w:rPr>
            </w:pPr>
            <w:r w:rsidRPr="002E47C3">
              <w:rPr>
                <w:rFonts w:asciiTheme="minorBidi" w:hAnsiTheme="minorBidi" w:cstheme="minorBidi"/>
                <w:sz w:val="22"/>
                <w:szCs w:val="22"/>
                <w:vertAlign w:val="superscript"/>
                <w:lang w:val="en-US" w:eastAsia="de-CH"/>
              </w:rPr>
              <w:t>5</w:t>
            </w:r>
            <w:r w:rsidRPr="002E47C3">
              <w:rPr>
                <w:rFonts w:asciiTheme="minorBidi" w:hAnsiTheme="minorBidi" w:cstheme="minorBidi"/>
                <w:sz w:val="22"/>
                <w:szCs w:val="22"/>
                <w:vertAlign w:val="superscript"/>
                <w:lang w:val="en-US" w:eastAsia="de-CH"/>
              </w:rPr>
              <w:t xml:space="preserve"> </w:t>
            </w:r>
            <w:r w:rsidRPr="002E47C3">
              <w:rPr>
                <w:rFonts w:asciiTheme="minorBidi" w:hAnsiTheme="minorBidi" w:cstheme="minorBidi"/>
                <w:sz w:val="22"/>
                <w:szCs w:val="22"/>
                <w:lang w:val="en-US" w:eastAsia="de-CH"/>
              </w:rPr>
              <w:t>Brain and Mind Centre, The University of Sydney, Camperdown, (NSW), Australia</w:t>
            </w:r>
          </w:p>
        </w:tc>
      </w:tr>
      <w:tr w:rsidR="001564A4" w:rsidRPr="0050053A" w14:paraId="6DAF615A" w14:textId="77777777" w:rsidTr="002E47C3">
        <w:trPr>
          <w:trHeight w:hRule="exact" w:val="9161"/>
          <w:jc w:val="center"/>
        </w:trPr>
        <w:tc>
          <w:tcPr>
            <w:tcW w:w="8640" w:type="dxa"/>
            <w:shd w:val="clear" w:color="auto" w:fill="auto"/>
          </w:tcPr>
          <w:p w14:paraId="739E7937" w14:textId="77777777" w:rsidR="001564A4" w:rsidRPr="002E47C3" w:rsidRDefault="001564A4" w:rsidP="002E47C3">
            <w:pPr>
              <w:pStyle w:val="Pa12"/>
              <w:spacing w:line="240" w:lineRule="auto"/>
              <w:rPr>
                <w:rStyle w:val="A4"/>
                <w:rFonts w:asciiTheme="minorBidi" w:hAnsiTheme="minorBidi" w:cstheme="minorBidi"/>
              </w:rPr>
            </w:pPr>
            <w:r w:rsidRPr="002E47C3">
              <w:rPr>
                <w:rStyle w:val="A4"/>
                <w:rFonts w:asciiTheme="minorBidi" w:hAnsiTheme="minorBidi" w:cstheme="minorBidi"/>
                <w:b/>
                <w:bCs/>
              </w:rPr>
              <w:t xml:space="preserve">Introduction/Aim: </w:t>
            </w:r>
          </w:p>
          <w:p w14:paraId="2251F6D5" w14:textId="2E2844C7" w:rsidR="001564A4" w:rsidRPr="002E47C3" w:rsidRDefault="002E47C3" w:rsidP="002E47C3">
            <w:pPr>
              <w:spacing w:after="120"/>
              <w:rPr>
                <w:rFonts w:asciiTheme="minorBidi" w:hAnsiTheme="minorBidi" w:cstheme="minorBidi"/>
                <w:color w:val="000000"/>
                <w:sz w:val="22"/>
                <w:szCs w:val="22"/>
                <w:lang w:val="en-US"/>
              </w:rPr>
            </w:pPr>
            <w:r w:rsidRPr="002E47C3">
              <w:rPr>
                <w:rFonts w:asciiTheme="minorBidi" w:hAnsiTheme="minorBidi" w:cstheme="minorBidi"/>
                <w:color w:val="000000"/>
                <w:sz w:val="22"/>
                <w:szCs w:val="22"/>
                <w:lang w:val="en-US"/>
              </w:rPr>
              <w:t>Pulse oximetry is widely used in the assessment of chronic respiratory failure (CHRF) in neuromuscular disease (NMD) patients. CHRF is the major cause of morbidity and mortality, necessitating early diagnosis and intervention. Guidelines suggest an arterial blood gas (ABG) is indicated if oxygen saturations (SpO</w:t>
            </w:r>
            <w:r w:rsidRPr="002E47C3">
              <w:rPr>
                <w:rFonts w:asciiTheme="minorBidi" w:hAnsiTheme="minorBidi" w:cstheme="minorBidi"/>
                <w:color w:val="000000"/>
                <w:sz w:val="22"/>
                <w:szCs w:val="22"/>
                <w:vertAlign w:val="subscript"/>
                <w:lang w:val="en-US"/>
              </w:rPr>
              <w:t>2</w:t>
            </w:r>
            <w:r w:rsidRPr="002E47C3">
              <w:rPr>
                <w:rFonts w:asciiTheme="minorBidi" w:hAnsiTheme="minorBidi" w:cstheme="minorBidi"/>
                <w:color w:val="000000"/>
                <w:sz w:val="22"/>
                <w:szCs w:val="22"/>
                <w:lang w:val="en-US"/>
              </w:rPr>
              <w:t xml:space="preserve">) ≤ 94% in the absence of lung disease.  However, hypercapnia with </w:t>
            </w:r>
            <w:proofErr w:type="spellStart"/>
            <w:r w:rsidRPr="002E47C3">
              <w:rPr>
                <w:rFonts w:asciiTheme="minorBidi" w:hAnsiTheme="minorBidi" w:cstheme="minorBidi"/>
                <w:color w:val="000000"/>
                <w:sz w:val="22"/>
                <w:szCs w:val="22"/>
                <w:lang w:val="en-US"/>
              </w:rPr>
              <w:t>normoxia</w:t>
            </w:r>
            <w:proofErr w:type="spellEnd"/>
            <w:r w:rsidRPr="002E47C3">
              <w:rPr>
                <w:rFonts w:asciiTheme="minorBidi" w:hAnsiTheme="minorBidi" w:cstheme="minorBidi"/>
                <w:color w:val="000000"/>
                <w:sz w:val="22"/>
                <w:szCs w:val="22"/>
                <w:lang w:val="en-US"/>
              </w:rPr>
              <w:t xml:space="preserve"> (SpO</w:t>
            </w:r>
            <w:r w:rsidRPr="002E47C3">
              <w:rPr>
                <w:rFonts w:asciiTheme="minorBidi" w:hAnsiTheme="minorBidi" w:cstheme="minorBidi"/>
                <w:color w:val="000000"/>
                <w:sz w:val="22"/>
                <w:szCs w:val="22"/>
                <w:vertAlign w:val="subscript"/>
                <w:lang w:val="en-US"/>
              </w:rPr>
              <w:t xml:space="preserve">2 </w:t>
            </w:r>
            <w:r w:rsidRPr="002E47C3">
              <w:rPr>
                <w:rFonts w:asciiTheme="minorBidi" w:hAnsiTheme="minorBidi" w:cstheme="minorBidi"/>
                <w:color w:val="000000"/>
                <w:sz w:val="22"/>
                <w:szCs w:val="22"/>
                <w:lang w:val="en-US"/>
              </w:rPr>
              <w:t xml:space="preserve">≥ 95%) has been observed on ABGs of patients with NMD, in particular those with motor </w:t>
            </w:r>
            <w:proofErr w:type="spellStart"/>
            <w:r w:rsidRPr="002E47C3">
              <w:rPr>
                <w:rFonts w:asciiTheme="minorBidi" w:hAnsiTheme="minorBidi" w:cstheme="minorBidi"/>
                <w:color w:val="000000"/>
                <w:sz w:val="22"/>
                <w:szCs w:val="22"/>
                <w:lang w:val="en-US"/>
              </w:rPr>
              <w:t>neurone</w:t>
            </w:r>
            <w:proofErr w:type="spellEnd"/>
            <w:r w:rsidRPr="002E47C3">
              <w:rPr>
                <w:rFonts w:asciiTheme="minorBidi" w:hAnsiTheme="minorBidi" w:cstheme="minorBidi"/>
                <w:color w:val="000000"/>
                <w:sz w:val="22"/>
                <w:szCs w:val="22"/>
                <w:lang w:val="en-US"/>
              </w:rPr>
              <w:t xml:space="preserve"> disease (MND).</w:t>
            </w:r>
          </w:p>
          <w:p w14:paraId="3D770CF7" w14:textId="77777777" w:rsidR="001564A4" w:rsidRPr="002E47C3" w:rsidRDefault="001564A4" w:rsidP="002E47C3">
            <w:pPr>
              <w:pStyle w:val="Pa12"/>
              <w:spacing w:line="240" w:lineRule="auto"/>
              <w:rPr>
                <w:rStyle w:val="A4"/>
                <w:rFonts w:asciiTheme="minorBidi" w:hAnsiTheme="minorBidi" w:cstheme="minorBidi"/>
                <w:bCs/>
              </w:rPr>
            </w:pPr>
          </w:p>
          <w:p w14:paraId="1B39336E" w14:textId="77777777" w:rsidR="001564A4" w:rsidRPr="002E47C3" w:rsidRDefault="001564A4" w:rsidP="002E47C3">
            <w:pPr>
              <w:pStyle w:val="Pa12"/>
              <w:spacing w:line="240" w:lineRule="auto"/>
              <w:rPr>
                <w:rStyle w:val="A4"/>
                <w:rFonts w:asciiTheme="minorBidi" w:hAnsiTheme="minorBidi" w:cstheme="minorBidi"/>
                <w:b/>
                <w:bCs/>
              </w:rPr>
            </w:pPr>
            <w:r w:rsidRPr="002E47C3">
              <w:rPr>
                <w:rStyle w:val="A4"/>
                <w:rFonts w:asciiTheme="minorBidi" w:hAnsiTheme="minorBidi" w:cstheme="minorBidi"/>
                <w:b/>
                <w:bCs/>
              </w:rPr>
              <w:t xml:space="preserve">Methods: </w:t>
            </w:r>
          </w:p>
          <w:p w14:paraId="5029BAE6" w14:textId="5DD639D2" w:rsidR="001564A4" w:rsidRPr="002E47C3" w:rsidRDefault="002E47C3" w:rsidP="002E47C3">
            <w:pPr>
              <w:tabs>
                <w:tab w:val="left" w:pos="284"/>
              </w:tabs>
              <w:spacing w:after="120"/>
              <w:rPr>
                <w:rStyle w:val="A4"/>
                <w:rFonts w:asciiTheme="minorBidi" w:hAnsiTheme="minorBidi" w:cstheme="minorBidi"/>
                <w:color w:val="000000" w:themeColor="text1"/>
                <w:lang w:val="en-US"/>
              </w:rPr>
            </w:pPr>
            <w:r w:rsidRPr="002E47C3">
              <w:rPr>
                <w:rFonts w:asciiTheme="minorBidi" w:hAnsiTheme="minorBidi" w:cstheme="minorBidi"/>
                <w:color w:val="000000" w:themeColor="text1"/>
                <w:sz w:val="22"/>
                <w:szCs w:val="22"/>
                <w:lang w:val="en-US"/>
              </w:rPr>
              <w:t>A single-</w:t>
            </w:r>
            <w:proofErr w:type="spellStart"/>
            <w:r w:rsidRPr="002E47C3">
              <w:rPr>
                <w:rFonts w:asciiTheme="minorBidi" w:hAnsiTheme="minorBidi" w:cstheme="minorBidi"/>
                <w:color w:val="000000" w:themeColor="text1"/>
                <w:sz w:val="22"/>
                <w:szCs w:val="22"/>
                <w:lang w:val="en-US"/>
              </w:rPr>
              <w:t>centre</w:t>
            </w:r>
            <w:proofErr w:type="spellEnd"/>
            <w:r w:rsidRPr="002E47C3">
              <w:rPr>
                <w:rFonts w:asciiTheme="minorBidi" w:hAnsiTheme="minorBidi" w:cstheme="minorBidi"/>
                <w:color w:val="000000" w:themeColor="text1"/>
                <w:sz w:val="22"/>
                <w:szCs w:val="22"/>
                <w:lang w:val="en-US"/>
              </w:rPr>
              <w:t xml:space="preserve"> retrospective audit of room-air ABGs in stable hypercapnic chronic respiratory failure (CHRF) patients from 1990–2020 was performed. </w:t>
            </w:r>
            <w:r w:rsidRPr="002E47C3">
              <w:rPr>
                <w:rFonts w:asciiTheme="minorBidi" w:hAnsiTheme="minorBidi" w:cstheme="minorBidi"/>
                <w:color w:val="000000"/>
                <w:sz w:val="22"/>
                <w:szCs w:val="22"/>
                <w:lang w:val="en-US"/>
              </w:rPr>
              <w:t xml:space="preserve">Patients with parenchymal lung disease were excluded. Patients were grouped into three main categories: non-NMD, other-NMD and MND. </w:t>
            </w:r>
          </w:p>
          <w:p w14:paraId="33560D44" w14:textId="77777777" w:rsidR="002E47C3" w:rsidRPr="002E47C3" w:rsidRDefault="002E47C3" w:rsidP="002E47C3">
            <w:pPr>
              <w:pStyle w:val="Pa12"/>
              <w:spacing w:line="240" w:lineRule="auto"/>
              <w:rPr>
                <w:rStyle w:val="A4"/>
                <w:rFonts w:asciiTheme="minorBidi" w:hAnsiTheme="minorBidi" w:cstheme="minorBidi"/>
                <w:b/>
                <w:bCs/>
              </w:rPr>
            </w:pPr>
          </w:p>
          <w:p w14:paraId="6BF3F094" w14:textId="699C7C36" w:rsidR="001564A4" w:rsidRPr="002E47C3" w:rsidRDefault="001564A4" w:rsidP="002E47C3">
            <w:pPr>
              <w:pStyle w:val="Pa12"/>
              <w:spacing w:line="240" w:lineRule="auto"/>
              <w:rPr>
                <w:rStyle w:val="A4"/>
                <w:rFonts w:asciiTheme="minorBidi" w:hAnsiTheme="minorBidi" w:cstheme="minorBidi"/>
                <w:b/>
                <w:bCs/>
              </w:rPr>
            </w:pPr>
            <w:r w:rsidRPr="002E47C3">
              <w:rPr>
                <w:rStyle w:val="A4"/>
                <w:rFonts w:asciiTheme="minorBidi" w:hAnsiTheme="minorBidi" w:cstheme="minorBidi"/>
                <w:b/>
                <w:bCs/>
              </w:rPr>
              <w:t xml:space="preserve">Results: </w:t>
            </w:r>
          </w:p>
          <w:p w14:paraId="465EF864" w14:textId="3AC02627" w:rsidR="002E47C3" w:rsidRPr="002E47C3" w:rsidRDefault="002E47C3" w:rsidP="002E47C3">
            <w:pPr>
              <w:tabs>
                <w:tab w:val="left" w:pos="284"/>
              </w:tabs>
              <w:spacing w:after="120"/>
              <w:rPr>
                <w:rFonts w:asciiTheme="minorBidi" w:hAnsiTheme="minorBidi" w:cstheme="minorBidi"/>
                <w:color w:val="000000" w:themeColor="text1"/>
                <w:sz w:val="22"/>
                <w:szCs w:val="22"/>
                <w:lang w:val="en-US"/>
              </w:rPr>
            </w:pPr>
            <w:r w:rsidRPr="002E47C3">
              <w:rPr>
                <w:rFonts w:asciiTheme="minorBidi" w:hAnsiTheme="minorBidi" w:cstheme="minorBidi"/>
                <w:color w:val="000000" w:themeColor="text1"/>
                <w:sz w:val="22"/>
                <w:szCs w:val="22"/>
                <w:lang w:val="en-US"/>
              </w:rPr>
              <w:t xml:space="preserve">Three-hundred-and-six ABGs with hypercapnia from 185 patients with extrinsic restrictive lung disease were </w:t>
            </w:r>
            <w:proofErr w:type="spellStart"/>
            <w:r w:rsidRPr="002E47C3">
              <w:rPr>
                <w:rFonts w:asciiTheme="minorBidi" w:hAnsiTheme="minorBidi" w:cstheme="minorBidi"/>
                <w:color w:val="000000" w:themeColor="text1"/>
                <w:sz w:val="22"/>
                <w:szCs w:val="22"/>
                <w:lang w:val="en-US"/>
              </w:rPr>
              <w:t>analysed</w:t>
            </w:r>
            <w:proofErr w:type="spellEnd"/>
            <w:r w:rsidRPr="002E47C3">
              <w:rPr>
                <w:rFonts w:asciiTheme="minorBidi" w:hAnsiTheme="minorBidi" w:cstheme="minorBidi"/>
                <w:color w:val="000000" w:themeColor="text1"/>
                <w:sz w:val="22"/>
                <w:szCs w:val="22"/>
                <w:lang w:val="en-US"/>
              </w:rPr>
              <w:t xml:space="preserve">. No patients with non-NMD, 65% of other-NMD and 36% of MND patients demonstrated hypercapnia with </w:t>
            </w:r>
            <w:proofErr w:type="spellStart"/>
            <w:r w:rsidRPr="002E47C3">
              <w:rPr>
                <w:rFonts w:asciiTheme="minorBidi" w:hAnsiTheme="minorBidi" w:cstheme="minorBidi"/>
                <w:color w:val="000000" w:themeColor="text1"/>
                <w:sz w:val="22"/>
                <w:szCs w:val="22"/>
                <w:lang w:val="en-US"/>
              </w:rPr>
              <w:t>normoxia</w:t>
            </w:r>
            <w:proofErr w:type="spellEnd"/>
            <w:r w:rsidRPr="002E47C3">
              <w:rPr>
                <w:rFonts w:asciiTheme="minorBidi" w:hAnsiTheme="minorBidi" w:cstheme="minorBidi"/>
                <w:color w:val="000000" w:themeColor="text1"/>
                <w:sz w:val="22"/>
                <w:szCs w:val="22"/>
                <w:lang w:val="en-US"/>
              </w:rPr>
              <w:t xml:space="preserve"> (</w:t>
            </w:r>
            <m:oMath>
              <m:r>
                <w:rPr>
                  <w:rFonts w:ascii="Cambria Math" w:eastAsia="Symbol" w:hAnsi="Cambria Math" w:cstheme="minorBidi"/>
                  <w:color w:val="000000" w:themeColor="text1"/>
                  <w:sz w:val="22"/>
                  <w:szCs w:val="22"/>
                </w:rPr>
                <m:t>χ</m:t>
              </m:r>
            </m:oMath>
            <w:r w:rsidRPr="002E47C3">
              <w:rPr>
                <w:rFonts w:asciiTheme="minorBidi" w:hAnsiTheme="minorBidi" w:cstheme="minorBidi"/>
                <w:color w:val="000000" w:themeColor="text1"/>
                <w:sz w:val="22"/>
                <w:szCs w:val="22"/>
                <w:vertAlign w:val="subscript"/>
                <w:lang w:val="en-AU"/>
              </w:rPr>
              <w:t>2</w:t>
            </w:r>
            <w:r w:rsidRPr="002E47C3">
              <w:rPr>
                <w:rFonts w:asciiTheme="minorBidi" w:hAnsiTheme="minorBidi" w:cstheme="minorBidi"/>
                <w:color w:val="000000" w:themeColor="text1"/>
                <w:sz w:val="22"/>
                <w:szCs w:val="22"/>
                <w:lang w:val="en-AU"/>
              </w:rPr>
              <w:t xml:space="preserve"> 83·61; p&lt;0·001)</w:t>
            </w:r>
            <w:r w:rsidRPr="002E47C3">
              <w:rPr>
                <w:rFonts w:asciiTheme="minorBidi" w:hAnsiTheme="minorBidi" w:cstheme="minorBidi"/>
                <w:color w:val="000000" w:themeColor="text1"/>
                <w:sz w:val="22"/>
                <w:szCs w:val="22"/>
                <w:lang w:val="en-US"/>
              </w:rPr>
              <w:t xml:space="preserve">. The potential mechanism is proposed to be a difference in calculated respiratory quotient (RQ). If the A-a gradient is assumed to be normal, </w:t>
            </w:r>
            <w:r w:rsidRPr="002E47C3">
              <w:rPr>
                <w:rFonts w:asciiTheme="minorBidi" w:hAnsiTheme="minorBidi" w:cstheme="minorBidi"/>
                <w:color w:val="000000" w:themeColor="text1"/>
                <w:sz w:val="22"/>
                <w:szCs w:val="22"/>
                <w:lang w:val="en-AU"/>
              </w:rPr>
              <w:t xml:space="preserve">the calculated RQ was significantly higher in MND patients and other-NMD patients compared with non-NMD patients (estimated-marginal-mean 0·99 [95%CI 0·93–1·03]; 0·88 [95%CI 0·77–0·97]; 0·74 [95%CI 0·64—0·84] respectively; p&lt;0·001) </w:t>
            </w:r>
            <w:r w:rsidRPr="002E47C3">
              <w:rPr>
                <w:rFonts w:asciiTheme="minorBidi" w:hAnsiTheme="minorBidi" w:cstheme="minorBidi"/>
                <w:color w:val="000000" w:themeColor="text1"/>
                <w:sz w:val="22"/>
                <w:szCs w:val="22"/>
                <w:lang w:val="en-US"/>
              </w:rPr>
              <w:t xml:space="preserve">by mixed-model analysis. </w:t>
            </w:r>
          </w:p>
          <w:p w14:paraId="68537800" w14:textId="77777777" w:rsidR="001564A4" w:rsidRPr="002E47C3" w:rsidRDefault="001564A4" w:rsidP="002E47C3">
            <w:pPr>
              <w:pStyle w:val="Pa12"/>
              <w:spacing w:line="240" w:lineRule="auto"/>
              <w:rPr>
                <w:rStyle w:val="A4"/>
                <w:rFonts w:asciiTheme="minorBidi" w:hAnsiTheme="minorBidi" w:cstheme="minorBidi"/>
                <w:bCs/>
              </w:rPr>
            </w:pPr>
          </w:p>
          <w:p w14:paraId="652F7BE1" w14:textId="77777777" w:rsidR="001564A4" w:rsidRPr="002E47C3" w:rsidRDefault="001564A4" w:rsidP="002E47C3">
            <w:pPr>
              <w:pStyle w:val="Pa12"/>
              <w:spacing w:line="240" w:lineRule="auto"/>
              <w:rPr>
                <w:rStyle w:val="A4"/>
                <w:rFonts w:asciiTheme="minorBidi" w:hAnsiTheme="minorBidi" w:cstheme="minorBidi"/>
                <w:b/>
                <w:bCs/>
              </w:rPr>
            </w:pPr>
            <w:r w:rsidRPr="002E47C3">
              <w:rPr>
                <w:rStyle w:val="A4"/>
                <w:rFonts w:asciiTheme="minorBidi" w:hAnsiTheme="minorBidi" w:cstheme="minorBidi"/>
                <w:b/>
                <w:bCs/>
              </w:rPr>
              <w:t xml:space="preserve">Conclusion: </w:t>
            </w:r>
          </w:p>
          <w:p w14:paraId="196E7BAC" w14:textId="2C5F2B7A" w:rsidR="001564A4" w:rsidRPr="002E47C3" w:rsidRDefault="002E47C3" w:rsidP="002E47C3">
            <w:pPr>
              <w:tabs>
                <w:tab w:val="left" w:pos="284"/>
              </w:tabs>
              <w:spacing w:after="120"/>
              <w:rPr>
                <w:rStyle w:val="A4"/>
                <w:rFonts w:asciiTheme="minorBidi" w:hAnsiTheme="minorBidi" w:cstheme="minorBidi"/>
                <w:color w:val="000000" w:themeColor="text1"/>
                <w:lang w:val="en-US"/>
              </w:rPr>
            </w:pPr>
            <w:r w:rsidRPr="002E47C3">
              <w:rPr>
                <w:rFonts w:asciiTheme="minorBidi" w:hAnsiTheme="minorBidi" w:cstheme="minorBidi"/>
                <w:color w:val="000000" w:themeColor="text1"/>
                <w:sz w:val="22"/>
                <w:szCs w:val="22"/>
                <w:lang w:val="en-US"/>
              </w:rPr>
              <w:t>Hypercapnia is not excluded in patients with normal oximetry in NMD patients and may be due to an elevated RQ. This has implications in the diagnosis and monitoring of NMD patients with oximetry</w:t>
            </w:r>
            <w:r>
              <w:rPr>
                <w:rFonts w:asciiTheme="minorBidi" w:hAnsiTheme="minorBidi" w:cstheme="minorBidi"/>
                <w:color w:val="000000" w:themeColor="text1"/>
                <w:sz w:val="22"/>
                <w:szCs w:val="22"/>
                <w:lang w:val="en-US"/>
              </w:rPr>
              <w:t xml:space="preserve"> alone</w:t>
            </w:r>
            <w:r w:rsidRPr="002E47C3">
              <w:rPr>
                <w:rFonts w:asciiTheme="minorBidi" w:hAnsiTheme="minorBidi" w:cstheme="minorBidi"/>
                <w:color w:val="000000" w:themeColor="text1"/>
                <w:sz w:val="22"/>
                <w:szCs w:val="22"/>
                <w:lang w:val="en-US"/>
              </w:rPr>
              <w:t xml:space="preserve">. </w:t>
            </w:r>
            <w:r w:rsidR="001564A4" w:rsidRPr="002E47C3">
              <w:rPr>
                <w:rStyle w:val="A4"/>
                <w:rFonts w:asciiTheme="minorBidi" w:hAnsiTheme="minorBidi" w:cstheme="minorBidi"/>
                <w:bCs/>
              </w:rPr>
              <w:br/>
            </w:r>
          </w:p>
          <w:p w14:paraId="3E8B4283" w14:textId="77777777" w:rsidR="001564A4" w:rsidRPr="002E47C3" w:rsidRDefault="001564A4" w:rsidP="002E47C3">
            <w:pPr>
              <w:pStyle w:val="Pa12"/>
              <w:spacing w:line="240" w:lineRule="auto"/>
              <w:rPr>
                <w:rStyle w:val="A4"/>
                <w:rFonts w:asciiTheme="minorBidi" w:hAnsiTheme="minorBidi" w:cstheme="minorBidi"/>
                <w:b/>
                <w:bCs/>
              </w:rPr>
            </w:pPr>
            <w:r w:rsidRPr="002E47C3">
              <w:rPr>
                <w:rStyle w:val="A4"/>
                <w:rFonts w:asciiTheme="minorBidi" w:hAnsiTheme="minorBidi" w:cstheme="minorBidi"/>
                <w:b/>
                <w:bCs/>
              </w:rPr>
              <w:t xml:space="preserve">Grant Support: </w:t>
            </w:r>
          </w:p>
          <w:p w14:paraId="7F8381F0" w14:textId="031E5BB4" w:rsidR="001564A4" w:rsidRPr="002E47C3" w:rsidRDefault="002E47C3" w:rsidP="002E47C3">
            <w:pPr>
              <w:pStyle w:val="Pa12"/>
              <w:spacing w:line="240" w:lineRule="auto"/>
              <w:rPr>
                <w:rFonts w:asciiTheme="minorBidi" w:hAnsiTheme="minorBidi" w:cstheme="minorBidi"/>
                <w:sz w:val="22"/>
                <w:szCs w:val="22"/>
              </w:rPr>
            </w:pPr>
            <w:r w:rsidRPr="002E47C3">
              <w:rPr>
                <w:rFonts w:asciiTheme="minorBidi" w:hAnsiTheme="minorBidi" w:cstheme="minorBidi"/>
                <w:sz w:val="22"/>
                <w:szCs w:val="22"/>
                <w:lang w:val="en-AU" w:eastAsia="de-CH"/>
              </w:rPr>
              <w:t>Dr Emma Gray received an NHMRC Postgraduate Scholarship.</w:t>
            </w:r>
            <w:r w:rsidR="001564A4" w:rsidRPr="002E47C3">
              <w:rPr>
                <w:rFonts w:asciiTheme="minorBidi" w:hAnsiTheme="minorBidi" w:cstheme="minorBidi"/>
                <w:sz w:val="22"/>
                <w:szCs w:val="22"/>
              </w:rPr>
              <w:br/>
            </w:r>
            <w:r w:rsidR="001564A4" w:rsidRPr="002E47C3">
              <w:rPr>
                <w:rFonts w:asciiTheme="minorBidi" w:hAnsiTheme="minorBidi" w:cstheme="minorBidi"/>
                <w:sz w:val="22"/>
                <w:szCs w:val="22"/>
              </w:rPr>
              <w:br/>
            </w:r>
            <w:r w:rsidR="001564A4" w:rsidRPr="002E47C3">
              <w:rPr>
                <w:rFonts w:asciiTheme="minorBidi" w:hAnsiTheme="minorBidi" w:cstheme="minorBidi"/>
                <w:sz w:val="22"/>
                <w:szCs w:val="22"/>
              </w:rPr>
              <w:br/>
            </w:r>
            <w:r w:rsidR="001564A4" w:rsidRPr="002E47C3">
              <w:rPr>
                <w:rFonts w:asciiTheme="minorBidi" w:hAnsiTheme="minorBidi" w:cstheme="minorBidi"/>
                <w:sz w:val="22"/>
                <w:szCs w:val="22"/>
              </w:rPr>
              <w:br/>
            </w:r>
            <w:r w:rsidR="001564A4" w:rsidRPr="002E47C3">
              <w:rPr>
                <w:rFonts w:asciiTheme="minorBidi" w:hAnsiTheme="minorBidi" w:cstheme="minorBidi"/>
                <w:sz w:val="22"/>
                <w:szCs w:val="22"/>
              </w:rPr>
              <w:br/>
            </w:r>
            <w:r w:rsidR="001564A4" w:rsidRPr="002E47C3">
              <w:rPr>
                <w:rFonts w:asciiTheme="minorBidi" w:hAnsiTheme="minorBidi" w:cstheme="minorBidi"/>
                <w:sz w:val="22"/>
                <w:szCs w:val="22"/>
              </w:rPr>
              <w:br/>
            </w:r>
            <w:r w:rsidR="001564A4" w:rsidRPr="002E47C3">
              <w:rPr>
                <w:rFonts w:asciiTheme="minorBidi" w:hAnsiTheme="minorBidi" w:cstheme="minorBidi"/>
                <w:sz w:val="22"/>
                <w:szCs w:val="22"/>
              </w:rPr>
              <w:br/>
            </w:r>
            <w:r w:rsidR="001564A4" w:rsidRPr="002E47C3">
              <w:rPr>
                <w:rFonts w:asciiTheme="minorBidi" w:hAnsiTheme="minorBidi" w:cstheme="minorBidi"/>
                <w:sz w:val="22"/>
                <w:szCs w:val="22"/>
              </w:rPr>
              <w:br/>
            </w:r>
            <w:r w:rsidR="001564A4" w:rsidRPr="002E47C3">
              <w:rPr>
                <w:rFonts w:asciiTheme="minorBidi" w:hAnsiTheme="minorBidi" w:cstheme="minorBidi"/>
                <w:sz w:val="22"/>
                <w:szCs w:val="22"/>
              </w:rPr>
              <w:br/>
            </w:r>
            <w:r w:rsidR="001564A4" w:rsidRPr="002E47C3">
              <w:rPr>
                <w:rFonts w:asciiTheme="minorBidi" w:hAnsiTheme="minorBidi" w:cstheme="minorBidi"/>
                <w:sz w:val="22"/>
                <w:szCs w:val="22"/>
              </w:rPr>
              <w:br/>
            </w:r>
          </w:p>
          <w:p w14:paraId="731CD908" w14:textId="77777777" w:rsidR="001564A4" w:rsidRPr="002E47C3" w:rsidRDefault="001564A4" w:rsidP="002E47C3">
            <w:pPr>
              <w:pStyle w:val="Default"/>
              <w:rPr>
                <w:rFonts w:asciiTheme="minorBidi" w:hAnsiTheme="minorBidi" w:cstheme="minorBidi"/>
                <w:sz w:val="22"/>
                <w:szCs w:val="22"/>
              </w:rPr>
            </w:pPr>
          </w:p>
          <w:p w14:paraId="34BF0A0F" w14:textId="77777777" w:rsidR="001564A4" w:rsidRPr="002E47C3" w:rsidRDefault="001564A4" w:rsidP="002E47C3">
            <w:pPr>
              <w:pStyle w:val="Default"/>
              <w:rPr>
                <w:rFonts w:asciiTheme="minorBidi" w:hAnsiTheme="minorBidi" w:cstheme="minorBidi"/>
                <w:sz w:val="22"/>
                <w:szCs w:val="22"/>
              </w:rPr>
            </w:pPr>
          </w:p>
          <w:p w14:paraId="1FF1A88F" w14:textId="77777777" w:rsidR="001564A4" w:rsidRPr="002E47C3" w:rsidRDefault="001564A4" w:rsidP="002E47C3">
            <w:pPr>
              <w:pStyle w:val="Pa12"/>
              <w:spacing w:line="240" w:lineRule="auto"/>
              <w:rPr>
                <w:rStyle w:val="A4"/>
                <w:rFonts w:asciiTheme="minorBidi" w:hAnsiTheme="minorBidi" w:cstheme="minorBidi"/>
                <w:bCs/>
              </w:rPr>
            </w:pPr>
            <w:r w:rsidRPr="002E47C3">
              <w:rPr>
                <w:rStyle w:val="A4"/>
                <w:rFonts w:asciiTheme="minorBidi" w:hAnsiTheme="minorBidi" w:cstheme="minorBidi"/>
                <w:bCs/>
              </w:rPr>
              <w:br/>
            </w:r>
            <w:r w:rsidRPr="002E47C3">
              <w:rPr>
                <w:rStyle w:val="A4"/>
                <w:rFonts w:asciiTheme="minorBidi" w:hAnsiTheme="minorBidi" w:cstheme="minorBidi"/>
                <w:bCs/>
              </w:rPr>
              <w:br/>
            </w:r>
            <w:r w:rsidRPr="002E47C3">
              <w:rPr>
                <w:rStyle w:val="A4"/>
                <w:rFonts w:asciiTheme="minorBidi" w:hAnsiTheme="minorBidi" w:cstheme="minorBidi"/>
                <w:bCs/>
              </w:rPr>
              <w:br/>
            </w:r>
            <w:r w:rsidRPr="002E47C3">
              <w:rPr>
                <w:rStyle w:val="A4"/>
                <w:rFonts w:asciiTheme="minorBidi" w:hAnsiTheme="minorBidi" w:cstheme="minorBidi"/>
                <w:bCs/>
              </w:rPr>
              <w:br/>
            </w:r>
            <w:r w:rsidRPr="002E47C3">
              <w:rPr>
                <w:rStyle w:val="A4"/>
                <w:rFonts w:asciiTheme="minorBidi" w:hAnsiTheme="minorBidi" w:cstheme="minorBidi"/>
                <w:bCs/>
              </w:rPr>
              <w:br/>
            </w:r>
            <w:r w:rsidRPr="002E47C3">
              <w:rPr>
                <w:rStyle w:val="A4"/>
                <w:rFonts w:asciiTheme="minorBidi" w:hAnsiTheme="minorBidi" w:cstheme="minorBidi"/>
                <w:bCs/>
              </w:rPr>
              <w:br/>
            </w:r>
            <w:r w:rsidRPr="002E47C3">
              <w:rPr>
                <w:rStyle w:val="A4"/>
                <w:rFonts w:asciiTheme="minorBidi" w:hAnsiTheme="minorBidi" w:cstheme="minorBidi"/>
                <w:bCs/>
              </w:rPr>
              <w:br/>
            </w:r>
            <w:r w:rsidRPr="002E47C3">
              <w:rPr>
                <w:rStyle w:val="A4"/>
                <w:rFonts w:asciiTheme="minorBidi" w:hAnsiTheme="minorBidi" w:cstheme="minorBidi"/>
                <w:bCs/>
              </w:rPr>
              <w:br/>
            </w:r>
            <w:r w:rsidRPr="002E47C3">
              <w:rPr>
                <w:rStyle w:val="A4"/>
                <w:rFonts w:asciiTheme="minorBidi" w:hAnsiTheme="minorBidi" w:cstheme="minorBidi"/>
                <w:bCs/>
              </w:rPr>
              <w:br/>
            </w:r>
            <w:r w:rsidRPr="002E47C3">
              <w:rPr>
                <w:rStyle w:val="A4"/>
                <w:rFonts w:asciiTheme="minorBidi" w:hAnsiTheme="minorBidi" w:cstheme="minorBidi"/>
                <w:bCs/>
              </w:rPr>
              <w:br/>
            </w:r>
            <w:r w:rsidRPr="002E47C3">
              <w:rPr>
                <w:rStyle w:val="A4"/>
                <w:rFonts w:asciiTheme="minorBidi" w:hAnsiTheme="minorBidi" w:cstheme="minorBidi"/>
                <w:bCs/>
              </w:rPr>
              <w:br/>
            </w:r>
          </w:p>
          <w:p w14:paraId="14DC37E4" w14:textId="77777777" w:rsidR="001564A4" w:rsidRPr="002E47C3" w:rsidRDefault="001564A4" w:rsidP="002E47C3">
            <w:pPr>
              <w:pStyle w:val="Default"/>
              <w:rPr>
                <w:rStyle w:val="A4"/>
                <w:rFonts w:asciiTheme="minorBidi" w:hAnsiTheme="minorBidi" w:cstheme="minorBidi"/>
                <w:bCs/>
              </w:rPr>
            </w:pPr>
          </w:p>
          <w:p w14:paraId="5F58D34F" w14:textId="77777777" w:rsidR="001564A4" w:rsidRPr="002E47C3" w:rsidRDefault="001564A4" w:rsidP="002E47C3">
            <w:pPr>
              <w:pStyle w:val="Default"/>
              <w:rPr>
                <w:rFonts w:asciiTheme="minorBidi" w:hAnsiTheme="minorBidi" w:cstheme="minorBidi"/>
                <w:sz w:val="22"/>
                <w:szCs w:val="22"/>
                <w:lang w:val="en-US" w:eastAsia="en-GB"/>
              </w:rPr>
            </w:pP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r w:rsidRPr="002E47C3">
              <w:rPr>
                <w:rFonts w:asciiTheme="minorBidi" w:hAnsiTheme="minorBidi" w:cstheme="minorBidi"/>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20B06040202020202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2E47C3"/>
    <w:rsid w:val="0051574E"/>
    <w:rsid w:val="008803FA"/>
    <w:rsid w:val="00B12E32"/>
    <w:rsid w:val="00E0700F"/>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6" ma:contentTypeDescription="Create a new document." ma:contentTypeScope="" ma:versionID="e2b445427de7fdc952c105e35286659b">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37c8f8b798b54af2a8e7107b543b3"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4E03BB-3B94-43A7-A10E-EF4C0ABC6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Emma Yeo</cp:lastModifiedBy>
  <cp:revision>2</cp:revision>
  <dcterms:created xsi:type="dcterms:W3CDTF">2023-10-18T23:50:00Z</dcterms:created>
  <dcterms:modified xsi:type="dcterms:W3CDTF">2023-10-18T23:50:00Z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