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8AFADAD" w:rsidR="002B7FC8" w:rsidRPr="007C7381" w:rsidRDefault="00E2694B" w:rsidP="00E36AD7">
            <w:pPr>
              <w:jc w:val="both"/>
              <w:rPr>
                <w:rFonts w:ascii="Arial" w:hAnsi="Arial" w:cs="Browallia New"/>
                <w:b/>
                <w:bCs/>
                <w:sz w:val="22"/>
                <w:szCs w:val="28"/>
                <w:lang w:val="en-US" w:bidi="th-TH"/>
              </w:rPr>
            </w:pPr>
            <w:proofErr w:type="spellStart"/>
            <w:r w:rsidRPr="00E2694B">
              <w:rPr>
                <w:rFonts w:ascii="Arial" w:hAnsi="Arial" w:cs="Browallia New"/>
                <w:b/>
                <w:bCs/>
                <w:sz w:val="22"/>
                <w:szCs w:val="28"/>
                <w:lang w:val="en-US" w:bidi="th-TH"/>
              </w:rPr>
              <w:t>Onya</w:t>
            </w:r>
            <w:proofErr w:type="spellEnd"/>
            <w:r w:rsidRPr="00E2694B">
              <w:rPr>
                <w:rFonts w:ascii="Arial" w:hAnsi="Arial" w:cs="Browallia New"/>
                <w:b/>
                <w:bCs/>
                <w:sz w:val="22"/>
                <w:szCs w:val="28"/>
                <w:lang w:val="en-US" w:bidi="th-TH"/>
              </w:rPr>
              <w:t xml:space="preserve"> – The Wellbeing Game. The use of gamification to improve the wellbeing status of the population in German</w:t>
            </w:r>
            <w:r>
              <w:rPr>
                <w:rFonts w:ascii="Arial" w:hAnsi="Arial" w:cs="Browallia New"/>
                <w:b/>
                <w:bCs/>
                <w:sz w:val="22"/>
                <w:szCs w:val="28"/>
                <w:lang w:val="en-US" w:bidi="th-TH"/>
              </w:rPr>
              <w:t>y</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7B502EC6" w14:textId="4208F481" w:rsidR="00E2694B" w:rsidRPr="00315453" w:rsidRDefault="00E2694B" w:rsidP="00E2694B">
            <w:pPr>
              <w:jc w:val="both"/>
              <w:rPr>
                <w:rFonts w:ascii="Arial" w:hAnsi="Arial" w:cs="Arial"/>
                <w:b/>
                <w:sz w:val="22"/>
                <w:szCs w:val="22"/>
              </w:rPr>
            </w:pPr>
            <w:r w:rsidRPr="00315453">
              <w:rPr>
                <w:rFonts w:ascii="Arial" w:hAnsi="Arial" w:cs="Arial"/>
                <w:b/>
                <w:sz w:val="22"/>
                <w:szCs w:val="22"/>
              </w:rPr>
              <w:t>Background/Objectives</w:t>
            </w:r>
          </w:p>
          <w:p w14:paraId="4E1F5971" w14:textId="77777777" w:rsidR="00E2694B" w:rsidRPr="00315453" w:rsidRDefault="00E2694B" w:rsidP="00E2694B">
            <w:pPr>
              <w:jc w:val="both"/>
              <w:rPr>
                <w:rFonts w:ascii="Arial" w:hAnsi="Arial" w:cs="Arial"/>
                <w:sz w:val="22"/>
                <w:szCs w:val="22"/>
              </w:rPr>
            </w:pPr>
            <w:r w:rsidRPr="00315453">
              <w:rPr>
                <w:rFonts w:ascii="Arial" w:hAnsi="Arial" w:cs="Arial"/>
                <w:sz w:val="22"/>
                <w:szCs w:val="22"/>
              </w:rPr>
              <w:t xml:space="preserve">The five ways to wellbeing </w:t>
            </w:r>
            <w:proofErr w:type="gramStart"/>
            <w:r w:rsidRPr="00315453">
              <w:rPr>
                <w:rFonts w:ascii="Arial" w:hAnsi="Arial" w:cs="Arial"/>
                <w:sz w:val="22"/>
                <w:szCs w:val="22"/>
              </w:rPr>
              <w:t>is</w:t>
            </w:r>
            <w:proofErr w:type="gramEnd"/>
            <w:r w:rsidRPr="00315453">
              <w:rPr>
                <w:rFonts w:ascii="Arial" w:hAnsi="Arial" w:cs="Arial"/>
                <w:sz w:val="22"/>
                <w:szCs w:val="22"/>
              </w:rPr>
              <w:t xml:space="preserve"> a communication framework developed to promote wellbeing in the general population. The five ways (connect, be active, take notice, keep learning and give) are designed to target the individual directly, to implement in daily life and to open space for choice and variety. </w:t>
            </w:r>
          </w:p>
          <w:p w14:paraId="23B7131A" w14:textId="77777777" w:rsidR="00E2694B" w:rsidRPr="00315453" w:rsidRDefault="00E2694B" w:rsidP="00E2694B">
            <w:pPr>
              <w:jc w:val="both"/>
              <w:rPr>
                <w:rFonts w:ascii="Arial" w:hAnsi="Arial" w:cs="Arial"/>
                <w:sz w:val="22"/>
                <w:szCs w:val="22"/>
              </w:rPr>
            </w:pPr>
          </w:p>
          <w:p w14:paraId="41649820" w14:textId="77777777" w:rsidR="00E2694B" w:rsidRPr="00315453" w:rsidRDefault="00E2694B" w:rsidP="00E2694B">
            <w:pPr>
              <w:pStyle w:val="BodyText"/>
              <w:spacing w:line="240" w:lineRule="auto"/>
              <w:rPr>
                <w:b w:val="0"/>
                <w:sz w:val="22"/>
                <w:szCs w:val="22"/>
              </w:rPr>
            </w:pPr>
            <w:r w:rsidRPr="00315453">
              <w:rPr>
                <w:b w:val="0"/>
                <w:sz w:val="22"/>
                <w:szCs w:val="22"/>
              </w:rPr>
              <w:t xml:space="preserve">Gamification is defined as: “[…] </w:t>
            </w:r>
            <w:r w:rsidRPr="00315453">
              <w:rPr>
                <w:b w:val="0"/>
                <w:i/>
                <w:sz w:val="22"/>
                <w:szCs w:val="22"/>
              </w:rPr>
              <w:t>the use of game design in non-game contexts</w:t>
            </w:r>
            <w:r w:rsidRPr="00315453">
              <w:rPr>
                <w:b w:val="0"/>
                <w:sz w:val="22"/>
                <w:szCs w:val="22"/>
              </w:rPr>
              <w:t xml:space="preserve">”. The underlying concept of gamification is to use the motivational potential of entertainment games by adapting specific mechanisms of such games to other contexts. </w:t>
            </w:r>
            <w:r w:rsidRPr="00315453">
              <w:rPr>
                <w:b w:val="0"/>
                <w:sz w:val="22"/>
                <w:szCs w:val="22"/>
                <w:lang w:val="en-US"/>
              </w:rPr>
              <w:t>Common goals of gamification are improvement of en</w:t>
            </w:r>
            <w:bookmarkStart w:id="0" w:name="_GoBack"/>
            <w:bookmarkEnd w:id="0"/>
            <w:r w:rsidRPr="00315453">
              <w:rPr>
                <w:b w:val="0"/>
                <w:sz w:val="22"/>
                <w:szCs w:val="22"/>
                <w:lang w:val="en-US"/>
              </w:rPr>
              <w:t>gagement and behavioral change</w:t>
            </w:r>
            <w:r w:rsidRPr="00315453">
              <w:rPr>
                <w:b w:val="0"/>
                <w:sz w:val="22"/>
                <w:szCs w:val="22"/>
              </w:rPr>
              <w:t>. Gamification can foster affect, behaviour, and cognition and has a positive influence on health and wellbeing and is successful to address hard-to-reach audiences.</w:t>
            </w:r>
          </w:p>
          <w:p w14:paraId="4B2CC8A2" w14:textId="77777777" w:rsidR="00E2694B" w:rsidRPr="00315453" w:rsidRDefault="00E2694B" w:rsidP="00E2694B">
            <w:pPr>
              <w:pStyle w:val="BodyText"/>
              <w:spacing w:line="240" w:lineRule="auto"/>
              <w:rPr>
                <w:b w:val="0"/>
                <w:sz w:val="22"/>
                <w:szCs w:val="22"/>
              </w:rPr>
            </w:pPr>
            <w:r w:rsidRPr="00315453">
              <w:rPr>
                <w:b w:val="0"/>
                <w:sz w:val="22"/>
                <w:szCs w:val="22"/>
              </w:rPr>
              <w:t xml:space="preserve">The positive effects of the use of gamification towards the wellbeing status have been shown in different settings in New Zealand; transferability in other countries </w:t>
            </w:r>
            <w:proofErr w:type="gramStart"/>
            <w:r w:rsidRPr="00315453">
              <w:rPr>
                <w:b w:val="0"/>
                <w:sz w:val="22"/>
                <w:szCs w:val="22"/>
              </w:rPr>
              <w:t>still remains</w:t>
            </w:r>
            <w:proofErr w:type="gramEnd"/>
            <w:r w:rsidRPr="00315453">
              <w:rPr>
                <w:b w:val="0"/>
                <w:sz w:val="22"/>
                <w:szCs w:val="22"/>
              </w:rPr>
              <w:t xml:space="preserve"> unknown.</w:t>
            </w:r>
          </w:p>
          <w:p w14:paraId="1019D3DC" w14:textId="77777777" w:rsidR="00E2694B" w:rsidRPr="00315453" w:rsidRDefault="00E2694B" w:rsidP="00E2694B">
            <w:pPr>
              <w:pStyle w:val="BodyText"/>
              <w:spacing w:line="240" w:lineRule="auto"/>
              <w:rPr>
                <w:b w:val="0"/>
                <w:sz w:val="22"/>
                <w:szCs w:val="22"/>
              </w:rPr>
            </w:pPr>
          </w:p>
          <w:p w14:paraId="49E14CB4" w14:textId="77777777" w:rsidR="00E2694B" w:rsidRPr="00315453" w:rsidRDefault="00E2694B" w:rsidP="00E2694B">
            <w:pPr>
              <w:jc w:val="both"/>
              <w:rPr>
                <w:rFonts w:ascii="Arial" w:hAnsi="Arial" w:cs="Arial"/>
                <w:sz w:val="22"/>
                <w:szCs w:val="22"/>
                <w:lang w:val="en-AU"/>
              </w:rPr>
            </w:pPr>
            <w:r w:rsidRPr="00315453">
              <w:rPr>
                <w:rFonts w:ascii="Arial" w:hAnsi="Arial" w:cs="Arial"/>
                <w:sz w:val="22"/>
                <w:szCs w:val="22"/>
                <w:lang w:val="en-AU"/>
              </w:rPr>
              <w:t xml:space="preserve">Aim of the present study is to adopt a Wellbeing Game to the German context and to evaluate its health effects in different settings. </w:t>
            </w:r>
          </w:p>
          <w:p w14:paraId="63486E8E" w14:textId="77777777" w:rsidR="00E2694B" w:rsidRPr="00315453" w:rsidRDefault="00E2694B" w:rsidP="00E2694B">
            <w:pPr>
              <w:jc w:val="both"/>
              <w:rPr>
                <w:rFonts w:ascii="Arial" w:hAnsi="Arial" w:cs="Arial"/>
                <w:sz w:val="22"/>
                <w:szCs w:val="22"/>
              </w:rPr>
            </w:pPr>
          </w:p>
          <w:p w14:paraId="6CC61D44" w14:textId="77777777" w:rsidR="00E2694B" w:rsidRPr="00315453" w:rsidRDefault="00E2694B" w:rsidP="00E2694B">
            <w:pPr>
              <w:jc w:val="both"/>
              <w:rPr>
                <w:rFonts w:ascii="Arial" w:hAnsi="Arial" w:cs="Arial"/>
                <w:b/>
                <w:sz w:val="22"/>
                <w:szCs w:val="22"/>
              </w:rPr>
            </w:pPr>
            <w:r w:rsidRPr="00315453">
              <w:rPr>
                <w:rFonts w:ascii="Arial" w:hAnsi="Arial" w:cs="Arial"/>
                <w:b/>
                <w:sz w:val="22"/>
                <w:szCs w:val="22"/>
              </w:rPr>
              <w:t>Methods</w:t>
            </w:r>
          </w:p>
          <w:p w14:paraId="075DB830" w14:textId="77777777" w:rsidR="00E2694B" w:rsidRPr="00315453" w:rsidRDefault="00E2694B" w:rsidP="00E2694B">
            <w:pPr>
              <w:jc w:val="both"/>
              <w:rPr>
                <w:rFonts w:ascii="Arial" w:hAnsi="Arial" w:cs="Arial"/>
                <w:sz w:val="22"/>
                <w:szCs w:val="22"/>
                <w:lang w:val="en-AU"/>
              </w:rPr>
            </w:pPr>
            <w:r w:rsidRPr="00315453">
              <w:rPr>
                <w:rFonts w:ascii="Arial" w:hAnsi="Arial" w:cs="Arial"/>
                <w:sz w:val="22"/>
                <w:szCs w:val="22"/>
              </w:rPr>
              <w:t>The overall goal of the Wellbeing Game named “</w:t>
            </w:r>
            <w:proofErr w:type="spellStart"/>
            <w:r w:rsidRPr="00315453">
              <w:rPr>
                <w:rFonts w:ascii="Arial" w:hAnsi="Arial" w:cs="Arial"/>
                <w:sz w:val="22"/>
                <w:szCs w:val="22"/>
              </w:rPr>
              <w:t>Onya</w:t>
            </w:r>
            <w:proofErr w:type="spellEnd"/>
            <w:r w:rsidRPr="00315453">
              <w:rPr>
                <w:rFonts w:ascii="Arial" w:hAnsi="Arial" w:cs="Arial"/>
                <w:sz w:val="22"/>
                <w:szCs w:val="22"/>
              </w:rPr>
              <w:t>” is to develop awareness of their own wellbeing-related activities and is being motivated to engage in such activities more frequently.</w:t>
            </w:r>
          </w:p>
          <w:p w14:paraId="316FADEE" w14:textId="77777777" w:rsidR="00E2694B" w:rsidRPr="00315453" w:rsidRDefault="00E2694B" w:rsidP="00E2694B">
            <w:pPr>
              <w:jc w:val="both"/>
              <w:rPr>
                <w:rFonts w:ascii="Arial" w:hAnsi="Arial" w:cs="Arial"/>
                <w:sz w:val="22"/>
                <w:szCs w:val="22"/>
              </w:rPr>
            </w:pPr>
            <w:r w:rsidRPr="00315453">
              <w:rPr>
                <w:rFonts w:ascii="Arial" w:hAnsi="Arial" w:cs="Arial"/>
                <w:sz w:val="22"/>
                <w:szCs w:val="22"/>
                <w:lang w:val="en-AU"/>
              </w:rPr>
              <w:t>“</w:t>
            </w:r>
            <w:proofErr w:type="spellStart"/>
            <w:r w:rsidRPr="00315453">
              <w:rPr>
                <w:rFonts w:ascii="Arial" w:hAnsi="Arial" w:cs="Arial"/>
                <w:sz w:val="22"/>
                <w:szCs w:val="22"/>
              </w:rPr>
              <w:t>Onya</w:t>
            </w:r>
            <w:proofErr w:type="spellEnd"/>
            <w:r w:rsidRPr="00315453">
              <w:rPr>
                <w:rFonts w:ascii="Arial" w:hAnsi="Arial" w:cs="Arial"/>
                <w:sz w:val="22"/>
                <w:szCs w:val="22"/>
              </w:rPr>
              <w:t xml:space="preserve">” is based on a previously web-based application published by the Mental Health Foundation of New Zealand. Players document their daily activities in the game and categorize them to the five factors to wellbeing. The users join teams to work together and improve their wellbeing status. The wellbeing enhancing activities are rewarded with points, which can be achieved on an individual and team basis. </w:t>
            </w:r>
            <w:proofErr w:type="spellStart"/>
            <w:r w:rsidRPr="00315453">
              <w:rPr>
                <w:rFonts w:ascii="Arial" w:hAnsi="Arial" w:cs="Arial"/>
                <w:sz w:val="22"/>
                <w:szCs w:val="22"/>
              </w:rPr>
              <w:t>Onya</w:t>
            </w:r>
            <w:proofErr w:type="spellEnd"/>
            <w:r w:rsidRPr="00315453">
              <w:rPr>
                <w:rFonts w:ascii="Arial" w:hAnsi="Arial" w:cs="Arial"/>
                <w:sz w:val="22"/>
                <w:szCs w:val="22"/>
              </w:rPr>
              <w:t xml:space="preserve"> uses game design elements like badges, </w:t>
            </w:r>
            <w:proofErr w:type="spellStart"/>
            <w:r w:rsidRPr="00315453">
              <w:rPr>
                <w:rFonts w:ascii="Arial" w:hAnsi="Arial" w:cs="Arial"/>
                <w:sz w:val="22"/>
                <w:szCs w:val="22"/>
              </w:rPr>
              <w:t>leaderboards</w:t>
            </w:r>
            <w:proofErr w:type="spellEnd"/>
            <w:r w:rsidRPr="00315453">
              <w:rPr>
                <w:rFonts w:ascii="Arial" w:hAnsi="Arial" w:cs="Arial"/>
                <w:sz w:val="22"/>
                <w:szCs w:val="22"/>
              </w:rPr>
              <w:t xml:space="preserve">, and points to motivate users to participate in the </w:t>
            </w:r>
            <w:proofErr w:type="gramStart"/>
            <w:r w:rsidRPr="00315453">
              <w:rPr>
                <w:rFonts w:ascii="Arial" w:hAnsi="Arial" w:cs="Arial"/>
                <w:sz w:val="22"/>
                <w:szCs w:val="22"/>
              </w:rPr>
              <w:t>game..</w:t>
            </w:r>
            <w:proofErr w:type="gramEnd"/>
            <w:r w:rsidRPr="00315453">
              <w:rPr>
                <w:rFonts w:ascii="Arial" w:hAnsi="Arial" w:cs="Arial"/>
                <w:sz w:val="22"/>
                <w:szCs w:val="22"/>
              </w:rPr>
              <w:t xml:space="preserve"> </w:t>
            </w:r>
          </w:p>
          <w:p w14:paraId="2470488C" w14:textId="77777777" w:rsidR="00E2694B" w:rsidRPr="00315453" w:rsidRDefault="00E2694B" w:rsidP="00E2694B">
            <w:pPr>
              <w:jc w:val="both"/>
              <w:rPr>
                <w:rFonts w:ascii="Arial" w:hAnsi="Arial" w:cs="Arial"/>
                <w:sz w:val="22"/>
                <w:szCs w:val="22"/>
                <w:lang w:val="en-AU"/>
              </w:rPr>
            </w:pPr>
            <w:r w:rsidRPr="00315453">
              <w:rPr>
                <w:rFonts w:ascii="Arial" w:hAnsi="Arial" w:cs="Arial"/>
                <w:sz w:val="22"/>
                <w:szCs w:val="22"/>
                <w:lang w:val="en-AU"/>
              </w:rPr>
              <w:t xml:space="preserve">The actual game is newly developed and includes more game design elements including performance graphs, level-ups, quest, team-based activities, commentary and liking functions, </w:t>
            </w:r>
            <w:proofErr w:type="gramStart"/>
            <w:r w:rsidRPr="00315453">
              <w:rPr>
                <w:rFonts w:ascii="Arial" w:hAnsi="Arial" w:cs="Arial"/>
                <w:sz w:val="22"/>
                <w:szCs w:val="22"/>
                <w:lang w:val="en-AU"/>
              </w:rPr>
              <w:t>and  the</w:t>
            </w:r>
            <w:proofErr w:type="gramEnd"/>
            <w:r w:rsidRPr="00315453">
              <w:rPr>
                <w:rFonts w:ascii="Arial" w:hAnsi="Arial" w:cs="Arial"/>
                <w:sz w:val="22"/>
                <w:szCs w:val="22"/>
                <w:lang w:val="en-AU"/>
              </w:rPr>
              <w:t xml:space="preserve"> opportunity to propose wellbeing related activities. The project is funded by the Federal Centre for Health Education within the German Federal Ministry of Health.</w:t>
            </w:r>
          </w:p>
          <w:p w14:paraId="029BE879" w14:textId="77777777" w:rsidR="00E2694B" w:rsidRPr="00315453" w:rsidRDefault="00E2694B" w:rsidP="00E2694B">
            <w:pPr>
              <w:jc w:val="both"/>
              <w:rPr>
                <w:rFonts w:ascii="Arial" w:hAnsi="Arial" w:cs="Arial"/>
                <w:b/>
                <w:sz w:val="22"/>
                <w:szCs w:val="22"/>
              </w:rPr>
            </w:pPr>
          </w:p>
          <w:p w14:paraId="3232139E" w14:textId="77777777" w:rsidR="00E2694B" w:rsidRPr="00315453" w:rsidRDefault="00E2694B" w:rsidP="00E2694B">
            <w:pPr>
              <w:jc w:val="both"/>
              <w:rPr>
                <w:rFonts w:ascii="Arial" w:hAnsi="Arial" w:cs="Arial"/>
                <w:b/>
                <w:sz w:val="22"/>
                <w:szCs w:val="22"/>
              </w:rPr>
            </w:pPr>
            <w:r w:rsidRPr="00315453">
              <w:rPr>
                <w:rFonts w:ascii="Arial" w:hAnsi="Arial" w:cs="Arial"/>
                <w:b/>
                <w:sz w:val="22"/>
                <w:szCs w:val="22"/>
              </w:rPr>
              <w:t>Results</w:t>
            </w:r>
          </w:p>
          <w:p w14:paraId="46276DF1" w14:textId="77777777" w:rsidR="00E2694B" w:rsidRPr="00315453" w:rsidRDefault="00E2694B" w:rsidP="00E2694B">
            <w:pPr>
              <w:jc w:val="both"/>
              <w:rPr>
                <w:rFonts w:ascii="Arial" w:hAnsi="Arial" w:cs="Arial"/>
                <w:sz w:val="22"/>
                <w:szCs w:val="22"/>
                <w:lang w:val="en-AU"/>
              </w:rPr>
            </w:pPr>
            <w:r w:rsidRPr="00315453">
              <w:rPr>
                <w:rFonts w:ascii="Arial" w:hAnsi="Arial" w:cs="Arial"/>
                <w:sz w:val="22"/>
                <w:szCs w:val="22"/>
                <w:lang w:val="en-AU"/>
              </w:rPr>
              <w:t>“Onya” will be applied in different settings in Germany and be evaluated in a randomized controlled trial regarding the effects on mental health outcomes. The game adaptation will consider cultural and legal specifications. The results of the study will be presented at the conference.</w:t>
            </w:r>
          </w:p>
          <w:p w14:paraId="71B18359" w14:textId="77777777" w:rsidR="00E2694B" w:rsidRPr="00315453" w:rsidRDefault="00E2694B" w:rsidP="00E2694B">
            <w:pPr>
              <w:rPr>
                <w:sz w:val="22"/>
                <w:szCs w:val="22"/>
                <w:lang w:val="en-AU"/>
              </w:rPr>
            </w:pPr>
          </w:p>
          <w:p w14:paraId="5A4DE263" w14:textId="56A68D1A" w:rsidR="00DA7A71" w:rsidRPr="00DA7A71" w:rsidRDefault="00DA7A71" w:rsidP="00F74CAF">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owallia New">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C7381"/>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756D3"/>
    <w:rsid w:val="00C84789"/>
    <w:rsid w:val="00C978A6"/>
    <w:rsid w:val="00CA0DE6"/>
    <w:rsid w:val="00CB2597"/>
    <w:rsid w:val="00CC5CF2"/>
    <w:rsid w:val="00CD0335"/>
    <w:rsid w:val="00CE496D"/>
    <w:rsid w:val="00CE5D57"/>
    <w:rsid w:val="00D71EFE"/>
    <w:rsid w:val="00DA45EE"/>
    <w:rsid w:val="00DA7A71"/>
    <w:rsid w:val="00DC2C64"/>
    <w:rsid w:val="00DD65A8"/>
    <w:rsid w:val="00DD79C4"/>
    <w:rsid w:val="00DE6D44"/>
    <w:rsid w:val="00E0479B"/>
    <w:rsid w:val="00E2694B"/>
    <w:rsid w:val="00E36AD7"/>
    <w:rsid w:val="00E379B4"/>
    <w:rsid w:val="00E458B1"/>
    <w:rsid w:val="00F16B61"/>
    <w:rsid w:val="00F407AD"/>
    <w:rsid w:val="00F67D81"/>
    <w:rsid w:val="00F74CAF"/>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FEB9B-1CD8-40D2-A43C-951222698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9c8a2b7b-0bee-4c48-b0a6-23db8982d3bc"/>
    <ds:schemaRef ds:uri="http://purl.org/dc/elements/1.1/"/>
    <ds:schemaRef ds:uri="6911e96c-4cc4-42d5-8e43-f93924cf6a0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2018-09-01T01:10:00Z</dcterms:created>
  <dcterms:modified xsi:type="dcterms:W3CDTF">2018-09-01T01:10:00Z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