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1"/>
      </w:tblGrid>
      <w:tr w:rsidR="001564A4" w:rsidRPr="0050053A" w14:paraId="5C38377B" w14:textId="77777777" w:rsidTr="00676B33">
        <w:trPr>
          <w:trHeight w:val="706"/>
          <w:jc w:val="center"/>
        </w:trPr>
        <w:tc>
          <w:tcPr>
            <w:tcW w:w="8861" w:type="dxa"/>
            <w:shd w:val="clear" w:color="auto" w:fill="auto"/>
          </w:tcPr>
          <w:p w14:paraId="5C44F357" w14:textId="77C525ED" w:rsidR="001564A4" w:rsidRPr="0050053A" w:rsidRDefault="00BA62E7" w:rsidP="000A28E2">
            <w:pPr>
              <w:spacing w:before="120" w:after="120"/>
              <w:rPr>
                <w:rFonts w:ascii="Arial" w:hAnsi="Arial" w:cs="Arial"/>
                <w:b/>
                <w:sz w:val="22"/>
                <w:szCs w:val="22"/>
                <w:lang w:val="en-US" w:eastAsia="zh-CN"/>
              </w:rPr>
            </w:pPr>
            <w:r w:rsidRPr="00BA62E7">
              <w:rPr>
                <w:rFonts w:ascii="Arial" w:hAnsi="Arial" w:cs="Arial"/>
                <w:b/>
                <w:sz w:val="22"/>
                <w:szCs w:val="22"/>
                <w:lang w:val="en-US" w:eastAsia="en-GB"/>
              </w:rPr>
              <w:t>Virus-induced acute and chronic lower respiratory tract disease is driven by TLR7</w:t>
            </w:r>
          </w:p>
        </w:tc>
      </w:tr>
      <w:tr w:rsidR="001564A4" w:rsidRPr="0050053A" w14:paraId="0E2E035C" w14:textId="77777777" w:rsidTr="00676B33">
        <w:trPr>
          <w:trHeight w:val="1050"/>
          <w:jc w:val="center"/>
        </w:trPr>
        <w:tc>
          <w:tcPr>
            <w:tcW w:w="8861" w:type="dxa"/>
            <w:shd w:val="clear" w:color="auto" w:fill="auto"/>
          </w:tcPr>
          <w:p w14:paraId="73B55295" w14:textId="35A4F014" w:rsidR="001564A4" w:rsidRPr="00413B94" w:rsidRDefault="00BA62E7" w:rsidP="000A28E2">
            <w:pPr>
              <w:spacing w:before="120" w:after="120"/>
              <w:rPr>
                <w:rFonts w:ascii="Arial" w:hAnsi="Arial" w:cs="Arial"/>
                <w:sz w:val="22"/>
                <w:szCs w:val="22"/>
                <w:u w:val="single"/>
                <w:lang w:eastAsia="zh-CN"/>
              </w:rPr>
            </w:pPr>
            <w:r w:rsidRPr="00BA62E7">
              <w:rPr>
                <w:rFonts w:ascii="Arial" w:hAnsi="Arial" w:cs="Arial"/>
                <w:sz w:val="22"/>
                <w:szCs w:val="22"/>
                <w:lang w:val="en-US" w:eastAsia="en-GB"/>
              </w:rPr>
              <w:t>Mark A. Miles</w:t>
            </w:r>
            <w:r w:rsidRPr="00BA62E7">
              <w:rPr>
                <w:rFonts w:ascii="Arial" w:hAnsi="Arial" w:cs="Arial"/>
                <w:sz w:val="22"/>
                <w:szCs w:val="22"/>
                <w:vertAlign w:val="superscript"/>
                <w:lang w:val="en-US" w:eastAsia="en-GB"/>
              </w:rPr>
              <w:t>1</w:t>
            </w:r>
            <w:r w:rsidRPr="00BA62E7">
              <w:rPr>
                <w:rFonts w:ascii="Arial" w:hAnsi="Arial" w:cs="Arial"/>
                <w:sz w:val="22"/>
                <w:szCs w:val="22"/>
                <w:lang w:val="en-US" w:eastAsia="en-GB"/>
              </w:rPr>
              <w:t>, Stella Liong</w:t>
            </w:r>
            <w:r w:rsidRPr="00BA62E7">
              <w:rPr>
                <w:rFonts w:ascii="Arial" w:hAnsi="Arial" w:cs="Arial"/>
                <w:sz w:val="22"/>
                <w:szCs w:val="22"/>
                <w:vertAlign w:val="superscript"/>
                <w:lang w:val="en-US" w:eastAsia="en-GB"/>
              </w:rPr>
              <w:t>1</w:t>
            </w:r>
            <w:r w:rsidRPr="00BA62E7">
              <w:rPr>
                <w:rFonts w:ascii="Arial" w:hAnsi="Arial" w:cs="Arial"/>
                <w:sz w:val="22"/>
                <w:szCs w:val="22"/>
                <w:lang w:val="en-US" w:eastAsia="en-GB"/>
              </w:rPr>
              <w:t>, Felicia Liong</w:t>
            </w:r>
            <w:r w:rsidRPr="00BA62E7">
              <w:rPr>
                <w:rFonts w:ascii="Arial" w:hAnsi="Arial" w:cs="Arial"/>
                <w:sz w:val="22"/>
                <w:szCs w:val="22"/>
                <w:vertAlign w:val="superscript"/>
                <w:lang w:val="en-US" w:eastAsia="en-GB"/>
              </w:rPr>
              <w:t>1</w:t>
            </w:r>
            <w:r w:rsidRPr="00BA62E7">
              <w:rPr>
                <w:rFonts w:ascii="Arial" w:hAnsi="Arial" w:cs="Arial"/>
                <w:sz w:val="22"/>
                <w:szCs w:val="22"/>
                <w:lang w:val="en-US" w:eastAsia="en-GB"/>
              </w:rPr>
              <w:t>, Madison Coward-Smith</w:t>
            </w:r>
            <w:r w:rsidRPr="00BA62E7">
              <w:rPr>
                <w:rFonts w:ascii="Arial" w:hAnsi="Arial" w:cs="Arial"/>
                <w:sz w:val="22"/>
                <w:szCs w:val="22"/>
                <w:vertAlign w:val="superscript"/>
                <w:lang w:val="en-US" w:eastAsia="en-GB"/>
              </w:rPr>
              <w:t>1</w:t>
            </w:r>
            <w:r w:rsidRPr="00BA62E7">
              <w:rPr>
                <w:rFonts w:ascii="Arial" w:hAnsi="Arial" w:cs="Arial"/>
                <w:sz w:val="22"/>
                <w:szCs w:val="22"/>
                <w:lang w:val="en-US" w:eastAsia="en-GB"/>
              </w:rPr>
              <w:t>, Gemma Trollope</w:t>
            </w:r>
            <w:r w:rsidRPr="00BA62E7">
              <w:rPr>
                <w:rFonts w:ascii="Arial" w:hAnsi="Arial" w:cs="Arial"/>
                <w:sz w:val="22"/>
                <w:szCs w:val="22"/>
                <w:vertAlign w:val="superscript"/>
                <w:lang w:val="en-US" w:eastAsia="en-GB"/>
              </w:rPr>
              <w:t>1</w:t>
            </w:r>
            <w:r w:rsidRPr="00BA62E7">
              <w:rPr>
                <w:rFonts w:ascii="Arial" w:hAnsi="Arial" w:cs="Arial"/>
                <w:sz w:val="22"/>
                <w:szCs w:val="22"/>
                <w:lang w:val="en-US" w:eastAsia="en-GB"/>
              </w:rPr>
              <w:t>, Hao Wang</w:t>
            </w:r>
            <w:r w:rsidRPr="00BA62E7">
              <w:rPr>
                <w:rFonts w:ascii="Arial" w:hAnsi="Arial" w:cs="Arial"/>
                <w:sz w:val="22"/>
                <w:szCs w:val="22"/>
                <w:vertAlign w:val="superscript"/>
                <w:lang w:val="en-US" w:eastAsia="en-GB"/>
              </w:rPr>
              <w:t>1</w:t>
            </w:r>
            <w:r w:rsidRPr="00BA62E7">
              <w:rPr>
                <w:rFonts w:ascii="Arial" w:hAnsi="Arial" w:cs="Arial"/>
                <w:sz w:val="22"/>
                <w:szCs w:val="22"/>
                <w:lang w:val="en-US" w:eastAsia="en-GB"/>
              </w:rPr>
              <w:t>, Steven Bozinovski</w:t>
            </w:r>
            <w:r w:rsidRPr="00BA62E7">
              <w:rPr>
                <w:rFonts w:ascii="Arial" w:hAnsi="Arial" w:cs="Arial"/>
                <w:sz w:val="22"/>
                <w:szCs w:val="22"/>
                <w:vertAlign w:val="superscript"/>
                <w:lang w:val="en-US" w:eastAsia="en-GB"/>
              </w:rPr>
              <w:t>1</w:t>
            </w:r>
            <w:r w:rsidRPr="00BA62E7">
              <w:rPr>
                <w:rFonts w:ascii="Arial" w:hAnsi="Arial" w:cs="Arial"/>
                <w:sz w:val="22"/>
                <w:szCs w:val="22"/>
                <w:lang w:val="en-US" w:eastAsia="en-GB"/>
              </w:rPr>
              <w:t>, John J. O’Leary</w:t>
            </w:r>
            <w:r w:rsidRPr="00BA62E7">
              <w:rPr>
                <w:rFonts w:ascii="Arial" w:hAnsi="Arial" w:cs="Arial"/>
                <w:sz w:val="22"/>
                <w:szCs w:val="22"/>
                <w:vertAlign w:val="superscript"/>
                <w:lang w:val="en-US" w:eastAsia="en-GB"/>
              </w:rPr>
              <w:t>2,3,4</w:t>
            </w:r>
            <w:r w:rsidRPr="00BA62E7">
              <w:rPr>
                <w:rFonts w:ascii="Arial" w:hAnsi="Arial" w:cs="Arial"/>
                <w:sz w:val="22"/>
                <w:szCs w:val="22"/>
                <w:lang w:val="en-US" w:eastAsia="en-GB"/>
              </w:rPr>
              <w:t>, Doug A. Brooks</w:t>
            </w:r>
            <w:r w:rsidRPr="00BA62E7">
              <w:rPr>
                <w:rFonts w:ascii="Arial" w:hAnsi="Arial" w:cs="Arial"/>
                <w:sz w:val="22"/>
                <w:szCs w:val="22"/>
                <w:vertAlign w:val="superscript"/>
                <w:lang w:val="en-US" w:eastAsia="en-GB"/>
              </w:rPr>
              <w:t>4</w:t>
            </w:r>
            <w:r w:rsidRPr="00BA62E7">
              <w:rPr>
                <w:rFonts w:ascii="Arial" w:hAnsi="Arial" w:cs="Arial"/>
                <w:sz w:val="22"/>
                <w:szCs w:val="22"/>
                <w:lang w:val="en-US" w:eastAsia="en-GB"/>
              </w:rPr>
              <w:t xml:space="preserve"> and Stavros Selemidis</w:t>
            </w:r>
            <w:r w:rsidRPr="00BA62E7">
              <w:rPr>
                <w:rFonts w:ascii="Arial" w:hAnsi="Arial" w:cs="Arial"/>
                <w:sz w:val="22"/>
                <w:szCs w:val="22"/>
                <w:vertAlign w:val="superscript"/>
                <w:lang w:val="en-US" w:eastAsia="en-GB"/>
              </w:rPr>
              <w:t>1</w:t>
            </w:r>
          </w:p>
        </w:tc>
      </w:tr>
      <w:tr w:rsidR="001564A4" w:rsidRPr="0050053A" w14:paraId="385A19D9" w14:textId="77777777" w:rsidTr="00676B33">
        <w:trPr>
          <w:trHeight w:val="171"/>
          <w:jc w:val="center"/>
        </w:trPr>
        <w:tc>
          <w:tcPr>
            <w:tcW w:w="8861" w:type="dxa"/>
            <w:shd w:val="clear" w:color="auto" w:fill="auto"/>
          </w:tcPr>
          <w:p w14:paraId="7DBA490B" w14:textId="77777777" w:rsidR="00BA62E7" w:rsidRPr="00BA62E7" w:rsidRDefault="00BA62E7" w:rsidP="00BA62E7">
            <w:pPr>
              <w:spacing w:before="120" w:after="120"/>
              <w:rPr>
                <w:rFonts w:ascii="Arial" w:hAnsi="Arial" w:cs="Arial"/>
                <w:i/>
                <w:sz w:val="22"/>
                <w:szCs w:val="22"/>
                <w:lang w:val="en-US" w:eastAsia="en-GB"/>
              </w:rPr>
            </w:pPr>
            <w:r w:rsidRPr="00BA62E7">
              <w:rPr>
                <w:rFonts w:ascii="Arial" w:hAnsi="Arial" w:cs="Arial"/>
                <w:i/>
                <w:sz w:val="22"/>
                <w:szCs w:val="22"/>
                <w:vertAlign w:val="superscript"/>
                <w:lang w:val="en-US" w:eastAsia="en-GB"/>
              </w:rPr>
              <w:t>1</w:t>
            </w:r>
            <w:r w:rsidRPr="00BA62E7">
              <w:rPr>
                <w:rFonts w:ascii="Arial" w:hAnsi="Arial" w:cs="Arial"/>
                <w:i/>
                <w:sz w:val="22"/>
                <w:szCs w:val="22"/>
                <w:lang w:val="en-US" w:eastAsia="en-GB"/>
              </w:rPr>
              <w:t xml:space="preserve">Centre for Respiratory Science and Health, School of </w:t>
            </w:r>
            <w:proofErr w:type="gramStart"/>
            <w:r w:rsidRPr="00BA62E7">
              <w:rPr>
                <w:rFonts w:ascii="Arial" w:hAnsi="Arial" w:cs="Arial"/>
                <w:i/>
                <w:sz w:val="22"/>
                <w:szCs w:val="22"/>
                <w:lang w:val="en-US" w:eastAsia="en-GB"/>
              </w:rPr>
              <w:t>Health</w:t>
            </w:r>
            <w:proofErr w:type="gramEnd"/>
            <w:r w:rsidRPr="00BA62E7">
              <w:rPr>
                <w:rFonts w:ascii="Arial" w:hAnsi="Arial" w:cs="Arial"/>
                <w:i/>
                <w:sz w:val="22"/>
                <w:szCs w:val="22"/>
                <w:lang w:val="en-US" w:eastAsia="en-GB"/>
              </w:rPr>
              <w:t xml:space="preserve"> and Biomedical Sciences, RMIT University, Victoria, Australia</w:t>
            </w:r>
          </w:p>
          <w:p w14:paraId="6E911D2F" w14:textId="77777777" w:rsidR="00BA62E7" w:rsidRPr="00BA62E7" w:rsidRDefault="00BA62E7" w:rsidP="00BA62E7">
            <w:pPr>
              <w:spacing w:before="120" w:after="120"/>
              <w:rPr>
                <w:rFonts w:ascii="Arial" w:hAnsi="Arial" w:cs="Arial"/>
                <w:i/>
                <w:sz w:val="22"/>
                <w:szCs w:val="22"/>
                <w:lang w:val="en-US" w:eastAsia="en-GB"/>
              </w:rPr>
            </w:pPr>
            <w:r w:rsidRPr="00BA62E7">
              <w:rPr>
                <w:rFonts w:ascii="Arial" w:hAnsi="Arial" w:cs="Arial"/>
                <w:i/>
                <w:sz w:val="22"/>
                <w:szCs w:val="22"/>
                <w:vertAlign w:val="superscript"/>
                <w:lang w:val="en-US" w:eastAsia="en-GB"/>
              </w:rPr>
              <w:t>2</w:t>
            </w:r>
            <w:r w:rsidRPr="00BA62E7">
              <w:rPr>
                <w:rFonts w:ascii="Arial" w:hAnsi="Arial" w:cs="Arial"/>
                <w:i/>
                <w:sz w:val="22"/>
                <w:szCs w:val="22"/>
                <w:lang w:val="en-US" w:eastAsia="en-GB"/>
              </w:rPr>
              <w:t xml:space="preserve">Discipline of Histopathology, School of Medicine, Trinity Translational Medicine Institute (TTMI), Trinity College Dublin, Dublin, Ireland. </w:t>
            </w:r>
          </w:p>
          <w:p w14:paraId="50198D62" w14:textId="77777777" w:rsidR="00BA62E7" w:rsidRPr="00BA62E7" w:rsidRDefault="00BA62E7" w:rsidP="00BA62E7">
            <w:pPr>
              <w:spacing w:before="120" w:after="120"/>
              <w:rPr>
                <w:rFonts w:ascii="Arial" w:hAnsi="Arial" w:cs="Arial"/>
                <w:i/>
                <w:sz w:val="22"/>
                <w:szCs w:val="22"/>
                <w:lang w:val="en-US" w:eastAsia="en-GB"/>
              </w:rPr>
            </w:pPr>
            <w:r w:rsidRPr="00BA62E7">
              <w:rPr>
                <w:rFonts w:ascii="Arial" w:hAnsi="Arial" w:cs="Arial"/>
                <w:i/>
                <w:sz w:val="22"/>
                <w:szCs w:val="22"/>
                <w:vertAlign w:val="superscript"/>
                <w:lang w:val="en-US" w:eastAsia="en-GB"/>
              </w:rPr>
              <w:t>3</w:t>
            </w:r>
            <w:r w:rsidRPr="00BA62E7">
              <w:rPr>
                <w:rFonts w:ascii="Arial" w:hAnsi="Arial" w:cs="Arial"/>
                <w:i/>
                <w:sz w:val="22"/>
                <w:szCs w:val="22"/>
                <w:lang w:val="en-US" w:eastAsia="en-GB"/>
              </w:rPr>
              <w:t>Sir Patrick Dun’s Laboratory, Central Pathology Laboratory, St James’s Hospital, Dublin, Ireland.</w:t>
            </w:r>
          </w:p>
          <w:p w14:paraId="45ED36BF" w14:textId="7F51C56F" w:rsidR="00BA62E7" w:rsidRPr="0050053A" w:rsidRDefault="00BA62E7" w:rsidP="00BA62E7">
            <w:pPr>
              <w:spacing w:before="120" w:after="120"/>
              <w:rPr>
                <w:rFonts w:ascii="Arial" w:hAnsi="Arial" w:cs="Arial"/>
                <w:i/>
                <w:sz w:val="22"/>
                <w:szCs w:val="22"/>
                <w:lang w:val="en-US" w:eastAsia="en-GB"/>
              </w:rPr>
            </w:pPr>
            <w:r w:rsidRPr="00BA62E7">
              <w:rPr>
                <w:rFonts w:ascii="Arial" w:hAnsi="Arial" w:cs="Arial"/>
                <w:i/>
                <w:sz w:val="22"/>
                <w:szCs w:val="22"/>
                <w:vertAlign w:val="superscript"/>
                <w:lang w:val="en-US" w:eastAsia="en-GB"/>
              </w:rPr>
              <w:t>4</w:t>
            </w:r>
            <w:r w:rsidRPr="00BA62E7">
              <w:rPr>
                <w:rFonts w:ascii="Arial" w:hAnsi="Arial" w:cs="Arial"/>
                <w:i/>
                <w:sz w:val="22"/>
                <w:szCs w:val="22"/>
                <w:lang w:val="en-US" w:eastAsia="en-GB"/>
              </w:rPr>
              <w:t>Clinical and Health Sciences, University of South Australia, South Australia, Australia.</w:t>
            </w:r>
          </w:p>
        </w:tc>
      </w:tr>
      <w:tr w:rsidR="001564A4" w:rsidRPr="0050053A" w14:paraId="6DAF615A" w14:textId="77777777" w:rsidTr="00676B33">
        <w:trPr>
          <w:trHeight w:hRule="exact" w:val="9479"/>
          <w:jc w:val="center"/>
        </w:trPr>
        <w:tc>
          <w:tcPr>
            <w:tcW w:w="8861" w:type="dxa"/>
            <w:shd w:val="clear" w:color="auto" w:fill="auto"/>
          </w:tcPr>
          <w:p w14:paraId="739E7937" w14:textId="77777777" w:rsidR="001564A4" w:rsidRPr="0050053A" w:rsidRDefault="001564A4" w:rsidP="000A28E2">
            <w:pPr>
              <w:pStyle w:val="Pa12"/>
              <w:rPr>
                <w:rStyle w:val="A4"/>
              </w:rPr>
            </w:pPr>
            <w:r>
              <w:rPr>
                <w:rStyle w:val="A4"/>
                <w:b/>
                <w:bCs/>
              </w:rPr>
              <w:t>Introduction/</w:t>
            </w:r>
            <w:r w:rsidRPr="0050053A">
              <w:rPr>
                <w:rStyle w:val="A4"/>
                <w:b/>
                <w:bCs/>
              </w:rPr>
              <w:t xml:space="preserve">Aim: </w:t>
            </w:r>
          </w:p>
          <w:p w14:paraId="219D1597" w14:textId="776B3C75" w:rsidR="001564A4" w:rsidRPr="0050053A" w:rsidRDefault="00BA62E7" w:rsidP="000A28E2">
            <w:pPr>
              <w:pStyle w:val="Pa12"/>
              <w:rPr>
                <w:sz w:val="22"/>
                <w:szCs w:val="22"/>
              </w:rPr>
            </w:pPr>
            <w:r w:rsidRPr="00BA62E7">
              <w:rPr>
                <w:sz w:val="22"/>
                <w:szCs w:val="22"/>
              </w:rPr>
              <w:t>Single stranded RNA (</w:t>
            </w:r>
            <w:proofErr w:type="spellStart"/>
            <w:r w:rsidRPr="00BA62E7">
              <w:rPr>
                <w:sz w:val="22"/>
                <w:szCs w:val="22"/>
              </w:rPr>
              <w:t>ssRNA</w:t>
            </w:r>
            <w:proofErr w:type="spellEnd"/>
            <w:r w:rsidRPr="00BA62E7">
              <w:rPr>
                <w:sz w:val="22"/>
                <w:szCs w:val="22"/>
              </w:rPr>
              <w:t xml:space="preserve">) viruses such as influenza A virus (IAV) and respiratory syncytial virus (RSV) cause millions of global infections each year. While these viruses typically cause mild upper respiratory tract (URT) illness, a subset of people, including the young, </w:t>
            </w:r>
            <w:proofErr w:type="gramStart"/>
            <w:r w:rsidRPr="00BA62E7">
              <w:rPr>
                <w:sz w:val="22"/>
                <w:szCs w:val="22"/>
              </w:rPr>
              <w:t>elderly</w:t>
            </w:r>
            <w:proofErr w:type="gramEnd"/>
            <w:r w:rsidRPr="00BA62E7">
              <w:rPr>
                <w:sz w:val="22"/>
                <w:szCs w:val="22"/>
              </w:rPr>
              <w:t xml:space="preserve"> and immunocompromised, develop serious lower respiratory tract (LRT) disease, which can provoke severe respiratory symptoms such as pneumonia, bronchiolitis or even death. Sequalae </w:t>
            </w:r>
            <w:r>
              <w:rPr>
                <w:sz w:val="22"/>
                <w:szCs w:val="22"/>
              </w:rPr>
              <w:t>resulting from</w:t>
            </w:r>
            <w:r w:rsidRPr="00BA62E7">
              <w:rPr>
                <w:sz w:val="22"/>
                <w:szCs w:val="22"/>
              </w:rPr>
              <w:t xml:space="preserve"> severe acute LRT disease from these infections can give rise to chronic respiratory disease, such as asthma. Toll-like receptor 7 (TLR7) recognises </w:t>
            </w:r>
            <w:proofErr w:type="spellStart"/>
            <w:r w:rsidRPr="00BA62E7">
              <w:rPr>
                <w:sz w:val="22"/>
                <w:szCs w:val="22"/>
              </w:rPr>
              <w:t>ssRNA</w:t>
            </w:r>
            <w:proofErr w:type="spellEnd"/>
            <w:r w:rsidRPr="00BA62E7">
              <w:rPr>
                <w:sz w:val="22"/>
                <w:szCs w:val="22"/>
              </w:rPr>
              <w:t xml:space="preserve"> within the endosome and is critical for establishing innate immune defences against these viruses by activating proinflammatory and antiviral signaling pathways. Immunopathology </w:t>
            </w:r>
            <w:proofErr w:type="gramStart"/>
            <w:r w:rsidRPr="00BA62E7">
              <w:rPr>
                <w:sz w:val="22"/>
                <w:szCs w:val="22"/>
              </w:rPr>
              <w:t>as a result of</w:t>
            </w:r>
            <w:proofErr w:type="gramEnd"/>
            <w:r w:rsidRPr="00BA62E7">
              <w:rPr>
                <w:sz w:val="22"/>
                <w:szCs w:val="22"/>
              </w:rPr>
              <w:t xml:space="preserve"> hyperinflammation (the “cytokine storm”) can worsen disease. We reasoned that hyperactivation of TLR7-dependent proinflammatory signaling underlines a pathogenic mechanism that promotes LRT disease following viral infection.</w:t>
            </w:r>
          </w:p>
          <w:p w14:paraId="3D770CF7" w14:textId="77777777" w:rsidR="001564A4" w:rsidRPr="0050053A" w:rsidRDefault="001564A4" w:rsidP="000A28E2">
            <w:pPr>
              <w:pStyle w:val="Pa12"/>
              <w:rPr>
                <w:rStyle w:val="A4"/>
                <w:bCs/>
              </w:rPr>
            </w:pP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70A39F78" w14:textId="527B1E3F" w:rsidR="001564A4" w:rsidRPr="0050053A" w:rsidRDefault="00BA62E7" w:rsidP="000A28E2">
            <w:pPr>
              <w:pStyle w:val="Pa12"/>
              <w:rPr>
                <w:sz w:val="22"/>
                <w:szCs w:val="22"/>
              </w:rPr>
            </w:pPr>
            <w:r w:rsidRPr="00BA62E7">
              <w:rPr>
                <w:sz w:val="22"/>
                <w:szCs w:val="22"/>
              </w:rPr>
              <w:t>Wild type C57BL/6 and TLR7 knockout (TLR7 KO) mice were intranasally infected with IAV (Hk-X31 or PR8 strains) or RSV A (Long strain)</w:t>
            </w:r>
            <w:r>
              <w:rPr>
                <w:sz w:val="22"/>
                <w:szCs w:val="22"/>
              </w:rPr>
              <w:t>. Flow cytometry and gene expression analysis was used to assess</w:t>
            </w:r>
            <w:r w:rsidRPr="00BA62E7">
              <w:rPr>
                <w:sz w:val="22"/>
                <w:szCs w:val="22"/>
              </w:rPr>
              <w:t xml:space="preserve"> inflammation at acute or chronic timepoints.</w:t>
            </w:r>
          </w:p>
          <w:p w14:paraId="5029BAE6" w14:textId="77777777" w:rsidR="001564A4" w:rsidRPr="0050053A" w:rsidRDefault="001564A4" w:rsidP="000A28E2">
            <w:pPr>
              <w:pStyle w:val="Pa12"/>
              <w:rPr>
                <w:rStyle w:val="A4"/>
                <w:bCs/>
              </w:rPr>
            </w:pPr>
          </w:p>
          <w:p w14:paraId="6BF3F094" w14:textId="77777777" w:rsidR="001564A4" w:rsidRPr="0050053A" w:rsidRDefault="001564A4" w:rsidP="000A28E2">
            <w:pPr>
              <w:pStyle w:val="Pa12"/>
              <w:rPr>
                <w:rStyle w:val="A4"/>
                <w:b/>
                <w:bCs/>
              </w:rPr>
            </w:pPr>
            <w:r w:rsidRPr="0050053A">
              <w:rPr>
                <w:rStyle w:val="A4"/>
                <w:b/>
                <w:bCs/>
              </w:rPr>
              <w:t xml:space="preserve">Results: </w:t>
            </w:r>
          </w:p>
          <w:p w14:paraId="0861549B" w14:textId="32E2DA04" w:rsidR="001564A4" w:rsidRPr="0050053A" w:rsidRDefault="00BA62E7" w:rsidP="000A28E2">
            <w:pPr>
              <w:pStyle w:val="Pa12"/>
              <w:rPr>
                <w:sz w:val="22"/>
                <w:szCs w:val="22"/>
              </w:rPr>
            </w:pPr>
            <w:r w:rsidRPr="00BA62E7">
              <w:rPr>
                <w:sz w:val="22"/>
                <w:szCs w:val="22"/>
              </w:rPr>
              <w:t>Following infection, inflammation in the URT (nasal compartment) was enhanced in the absence of TLR7 although monocyte and plasmacytoid dendritic cell populations were lower. This was associated with reduced innate and adaptive T cell responses in the LRT, leading to decreased Th1-mediated immunity. Viral clearance in the lungs was not compromised and TLR7 KO mice instead displayed less disease burden as evidenced by reduced acute LRT inflammation and abrogated chronic airway hyperreactivity.</w:t>
            </w:r>
            <w:r w:rsidR="001564A4">
              <w:rPr>
                <w:sz w:val="22"/>
                <w:szCs w:val="22"/>
              </w:rPr>
              <w:br/>
            </w:r>
          </w:p>
          <w:p w14:paraId="652F7BE1" w14:textId="77777777" w:rsidR="001564A4" w:rsidRPr="0050053A" w:rsidRDefault="001564A4" w:rsidP="000A28E2">
            <w:pPr>
              <w:pStyle w:val="Pa12"/>
              <w:rPr>
                <w:rStyle w:val="A4"/>
                <w:b/>
                <w:bCs/>
              </w:rPr>
            </w:pPr>
            <w:r w:rsidRPr="0050053A">
              <w:rPr>
                <w:rStyle w:val="A4"/>
                <w:b/>
                <w:bCs/>
              </w:rPr>
              <w:t xml:space="preserve">Conclusion: </w:t>
            </w:r>
          </w:p>
          <w:p w14:paraId="033167F9" w14:textId="344A4651" w:rsidR="001564A4" w:rsidRPr="0050053A" w:rsidRDefault="00BA62E7" w:rsidP="000A28E2">
            <w:pPr>
              <w:pStyle w:val="Pa12"/>
              <w:rPr>
                <w:rStyle w:val="A4"/>
                <w:bCs/>
              </w:rPr>
            </w:pPr>
            <w:r w:rsidRPr="00BA62E7">
              <w:rPr>
                <w:sz w:val="22"/>
                <w:szCs w:val="22"/>
              </w:rPr>
              <w:t>This research unveils TLR7-mediated hyperinflammation as a potential mechanism utilized by respiratory viruses to drive LRT disease and suggests the compartmentalization of the inflammatory response to the URT may reduce the acute and chronic manifestations of LRT disease.</w:t>
            </w:r>
          </w:p>
          <w:p w14:paraId="3E8B4283" w14:textId="5D781F05" w:rsidR="001564A4" w:rsidRPr="0050053A" w:rsidRDefault="001564A4" w:rsidP="000A28E2">
            <w:pPr>
              <w:pStyle w:val="Pa12"/>
              <w:rPr>
                <w:rStyle w:val="A4"/>
                <w:b/>
                <w:bCs/>
              </w:rPr>
            </w:pPr>
            <w:r>
              <w:rPr>
                <w:rStyle w:val="A4"/>
                <w:bCs/>
              </w:rPr>
              <w:br/>
            </w:r>
            <w:r w:rsidRPr="0050053A">
              <w:rPr>
                <w:rStyle w:val="A4"/>
                <w:b/>
                <w:bCs/>
              </w:rPr>
              <w:t xml:space="preserve">Grant Support: </w:t>
            </w:r>
          </w:p>
          <w:p w14:paraId="7F8381F0" w14:textId="070ECA6B" w:rsidR="001564A4" w:rsidRDefault="00BA62E7" w:rsidP="000A28E2">
            <w:pPr>
              <w:pStyle w:val="Pa12"/>
              <w:rPr>
                <w:sz w:val="22"/>
                <w:szCs w:val="22"/>
              </w:rPr>
            </w:pPr>
            <w:r w:rsidRPr="00BA62E7">
              <w:rPr>
                <w:sz w:val="22"/>
                <w:szCs w:val="22"/>
              </w:rPr>
              <w:t>This work was supported by The National Health and Medical Research Council of Australia (Project I.D. 1122506, 1128276)</w:t>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51574E"/>
    <w:rsid w:val="00676B33"/>
    <w:rsid w:val="008803FA"/>
    <w:rsid w:val="00B12E32"/>
    <w:rsid w:val="00BA62E7"/>
    <w:rsid w:val="00C363D0"/>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61898-40DD-42B0-A9FA-52244C88F073}">
  <ds:schemaRefs>
    <ds:schemaRef ds:uri="http://schemas.microsoft.com/office/2006/documentManagement/types"/>
    <ds:schemaRef ds:uri="9c8a2b7b-0bee-4c48-b0a6-23db8982d3bc"/>
    <ds:schemaRef ds:uri="http://schemas.microsoft.com/office/2006/metadata/properties"/>
    <ds:schemaRef ds:uri="http://schemas.microsoft.com/office/infopath/2007/PartnerControls"/>
    <ds:schemaRef ds:uri="6911e96c-4cc4-42d5-8e43-f93924cf6a05"/>
    <ds:schemaRef ds:uri="http://purl.org/dc/elements/1.1/"/>
    <ds:schemaRef ds:uri="http://purl.org/dc/dcmitype/"/>
    <ds:schemaRef ds:uri="http://purl.org/dc/terms/"/>
    <ds:schemaRef ds:uri="http://schemas.openxmlformats.org/package/2006/metadata/core-properties"/>
    <ds:schemaRef ds:uri="http://www.w3.org/XML/1998/namespace"/>
    <ds:schemaRef ds:uri="cab52c9b-ab33-4221-8af9-54f8f2b86a80"/>
  </ds:schemaRefs>
</ds:datastoreItem>
</file>

<file path=customXml/itemProps2.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Mark Miles</cp:lastModifiedBy>
  <cp:revision>2</cp:revision>
  <dcterms:created xsi:type="dcterms:W3CDTF">2023-10-18T22:45:00Z</dcterms:created>
  <dcterms:modified xsi:type="dcterms:W3CDTF">2023-10-18T22:45:00Z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MSIP_Label_1b52b3a1-dbcb-41fb-a452-370cf542753f_Enabled">
    <vt:lpwstr>true</vt:lpwstr>
  </property>
  <property fmtid="{D5CDD505-2E9C-101B-9397-08002B2CF9AE}" pid="5" name="MSIP_Label_1b52b3a1-dbcb-41fb-a452-370cf542753f_SetDate">
    <vt:lpwstr>2023-10-18T22:09:49Z</vt:lpwstr>
  </property>
  <property fmtid="{D5CDD505-2E9C-101B-9397-08002B2CF9AE}" pid="6" name="MSIP_Label_1b52b3a1-dbcb-41fb-a452-370cf542753f_Method">
    <vt:lpwstr>Privileged</vt:lpwstr>
  </property>
  <property fmtid="{D5CDD505-2E9C-101B-9397-08002B2CF9AE}" pid="7" name="MSIP_Label_1b52b3a1-dbcb-41fb-a452-370cf542753f_Name">
    <vt:lpwstr>Public</vt:lpwstr>
  </property>
  <property fmtid="{D5CDD505-2E9C-101B-9397-08002B2CF9AE}" pid="8" name="MSIP_Label_1b52b3a1-dbcb-41fb-a452-370cf542753f_SiteId">
    <vt:lpwstr>d1323671-cdbe-4417-b4d4-bdb24b51316b</vt:lpwstr>
  </property>
  <property fmtid="{D5CDD505-2E9C-101B-9397-08002B2CF9AE}" pid="9" name="MSIP_Label_1b52b3a1-dbcb-41fb-a452-370cf542753f_ActionId">
    <vt:lpwstr>68e04a71-80ea-4714-8fa1-8151be702e41</vt:lpwstr>
  </property>
  <property fmtid="{D5CDD505-2E9C-101B-9397-08002B2CF9AE}" pid="10" name="MSIP_Label_1b52b3a1-dbcb-41fb-a452-370cf542753f_ContentBits">
    <vt:lpwstr>0</vt:lpwstr>
  </property>
</Properties>
</file>