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824F8" w14:textId="5CCCC52D" w:rsidR="00C13208" w:rsidRPr="00016732" w:rsidRDefault="00C13208">
      <w:pPr>
        <w:rPr>
          <w:rFonts w:ascii="Arial" w:hAnsi="Arial" w:cs="Arial"/>
        </w:rPr>
      </w:pPr>
      <w:r w:rsidRPr="008415F4">
        <w:rPr>
          <w:rFonts w:ascii="Arial" w:hAnsi="Arial" w:cs="Arial"/>
          <w:b/>
          <w:bCs/>
        </w:rPr>
        <w:t>Genetic mapping of the morphological and proteomic landscapes of adipose tissue reveals novel ECM – adipocyte interactions</w:t>
      </w:r>
      <w:r w:rsidRPr="00016732">
        <w:rPr>
          <w:rFonts w:ascii="Arial" w:hAnsi="Arial" w:cs="Arial"/>
        </w:rPr>
        <w:t>.</w:t>
      </w:r>
    </w:p>
    <w:p w14:paraId="72A4D4F0" w14:textId="72362058" w:rsidR="004E3B83" w:rsidRPr="00D600B7" w:rsidRDefault="00B23D89">
      <w:pPr>
        <w:rPr>
          <w:rFonts w:ascii="Arial" w:hAnsi="Arial" w:cs="Arial"/>
          <w:i/>
          <w:iCs/>
        </w:rPr>
      </w:pPr>
      <w:r w:rsidRPr="00D600B7">
        <w:rPr>
          <w:rFonts w:ascii="Arial" w:hAnsi="Arial" w:cs="Arial"/>
          <w:i/>
          <w:iCs/>
        </w:rPr>
        <w:t>Aim:</w:t>
      </w:r>
    </w:p>
    <w:p w14:paraId="676E232F" w14:textId="05D68DF6" w:rsidR="004E3B83" w:rsidRDefault="006F06AD">
      <w:pPr>
        <w:rPr>
          <w:rFonts w:ascii="Arial" w:hAnsi="Arial" w:cs="Arial"/>
        </w:rPr>
      </w:pPr>
      <w:r w:rsidRPr="00C13208">
        <w:rPr>
          <w:rFonts w:ascii="Arial" w:hAnsi="Arial" w:cs="Arial"/>
        </w:rPr>
        <w:t xml:space="preserve">The adipose tissue is a highly plastic organ that can expand its energy storage capacity by either increasing adipocyte size (hypertrophy) or adipocyte number (hyperplasia). Adipocyte hypertrophy is a hallmark of adipose tissue dysfunction and drives systemic insulin resistance. </w:t>
      </w:r>
      <w:r w:rsidR="00AA4593">
        <w:rPr>
          <w:rFonts w:ascii="Arial" w:hAnsi="Arial" w:cs="Arial"/>
        </w:rPr>
        <w:t>We aimed t</w:t>
      </w:r>
      <w:r w:rsidRPr="00C13208">
        <w:rPr>
          <w:rFonts w:ascii="Arial" w:hAnsi="Arial" w:cs="Arial"/>
        </w:rPr>
        <w:t>o clarify mechanisms regulating the hypertrophy – hyperplasia axis</w:t>
      </w:r>
      <w:r w:rsidR="00AA4593">
        <w:rPr>
          <w:rFonts w:ascii="Arial" w:hAnsi="Arial" w:cs="Arial"/>
        </w:rPr>
        <w:t>.</w:t>
      </w:r>
    </w:p>
    <w:p w14:paraId="0852C905" w14:textId="5BE24740" w:rsidR="004E3B83" w:rsidRPr="00D600B7" w:rsidRDefault="004E3B83">
      <w:pPr>
        <w:rPr>
          <w:rFonts w:ascii="Arial" w:hAnsi="Arial" w:cs="Arial"/>
          <w:i/>
          <w:iCs/>
        </w:rPr>
      </w:pPr>
      <w:r w:rsidRPr="00D600B7">
        <w:rPr>
          <w:rFonts w:ascii="Arial" w:hAnsi="Arial" w:cs="Arial"/>
          <w:i/>
          <w:iCs/>
        </w:rPr>
        <w:t>Method:</w:t>
      </w:r>
    </w:p>
    <w:p w14:paraId="57F00413" w14:textId="4C61B631" w:rsidR="00B23D89" w:rsidRDefault="003B0041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6F06AD" w:rsidRPr="00C13208">
        <w:rPr>
          <w:rFonts w:ascii="Arial" w:hAnsi="Arial" w:cs="Arial"/>
        </w:rPr>
        <w:t>e measured the average adipocyte size of inguinal white adipose tissue (</w:t>
      </w:r>
      <w:proofErr w:type="spellStart"/>
      <w:r w:rsidR="006F06AD" w:rsidRPr="00C13208">
        <w:rPr>
          <w:rFonts w:ascii="Arial" w:hAnsi="Arial" w:cs="Arial"/>
        </w:rPr>
        <w:t>iWAT</w:t>
      </w:r>
      <w:proofErr w:type="spellEnd"/>
      <w:r w:rsidR="006F06AD" w:rsidRPr="00C13208">
        <w:rPr>
          <w:rFonts w:ascii="Arial" w:hAnsi="Arial" w:cs="Arial"/>
        </w:rPr>
        <w:t xml:space="preserve">) </w:t>
      </w:r>
      <w:r w:rsidR="003177A4">
        <w:rPr>
          <w:rFonts w:ascii="Arial" w:hAnsi="Arial" w:cs="Arial"/>
        </w:rPr>
        <w:t>histological stains</w:t>
      </w:r>
      <w:r w:rsidR="0052630D">
        <w:rPr>
          <w:rFonts w:ascii="Arial" w:hAnsi="Arial" w:cs="Arial"/>
        </w:rPr>
        <w:t xml:space="preserve"> </w:t>
      </w:r>
      <w:r w:rsidR="006F06AD" w:rsidRPr="00C13208">
        <w:rPr>
          <w:rFonts w:ascii="Arial" w:hAnsi="Arial" w:cs="Arial"/>
        </w:rPr>
        <w:t>in 412 Diversity Outbred Australia (</w:t>
      </w:r>
      <w:proofErr w:type="spellStart"/>
      <w:r w:rsidR="006F06AD" w:rsidRPr="00C13208">
        <w:rPr>
          <w:rFonts w:ascii="Arial" w:hAnsi="Arial" w:cs="Arial"/>
        </w:rPr>
        <w:t>DOz</w:t>
      </w:r>
      <w:proofErr w:type="spellEnd"/>
      <w:r w:rsidR="006F06AD" w:rsidRPr="00C13208">
        <w:rPr>
          <w:rFonts w:ascii="Arial" w:hAnsi="Arial" w:cs="Arial"/>
        </w:rPr>
        <w:t xml:space="preserve">) mice. </w:t>
      </w:r>
      <w:proofErr w:type="spellStart"/>
      <w:r w:rsidR="006F06AD" w:rsidRPr="00C13208">
        <w:rPr>
          <w:rFonts w:ascii="Arial" w:hAnsi="Arial" w:cs="Arial"/>
        </w:rPr>
        <w:t>DOz</w:t>
      </w:r>
      <w:proofErr w:type="spellEnd"/>
      <w:r w:rsidR="006F06AD" w:rsidRPr="00C13208">
        <w:rPr>
          <w:rFonts w:ascii="Arial" w:hAnsi="Arial" w:cs="Arial"/>
        </w:rPr>
        <w:t xml:space="preserve"> mice capture immense genetic and phenotypic diversity that mimic that of the human population making them a powerful tool for genetic mapping. In a subset of 282 mice, we conducted </w:t>
      </w:r>
      <w:proofErr w:type="spellStart"/>
      <w:r w:rsidR="006F06AD" w:rsidRPr="00C13208">
        <w:rPr>
          <w:rFonts w:ascii="Arial" w:hAnsi="Arial" w:cs="Arial"/>
        </w:rPr>
        <w:t>iWAT</w:t>
      </w:r>
      <w:proofErr w:type="spellEnd"/>
      <w:r w:rsidR="006F06AD" w:rsidRPr="00C13208">
        <w:rPr>
          <w:rFonts w:ascii="Arial" w:hAnsi="Arial" w:cs="Arial"/>
        </w:rPr>
        <w:t xml:space="preserve"> proteomics.</w:t>
      </w:r>
      <w:r w:rsidR="006809EE">
        <w:rPr>
          <w:rFonts w:ascii="Arial" w:hAnsi="Arial" w:cs="Arial"/>
        </w:rPr>
        <w:t xml:space="preserve"> </w:t>
      </w:r>
    </w:p>
    <w:p w14:paraId="03140622" w14:textId="151767E1" w:rsidR="00B23D89" w:rsidRPr="00D600B7" w:rsidRDefault="00B23D89">
      <w:pPr>
        <w:rPr>
          <w:rFonts w:ascii="Arial" w:hAnsi="Arial" w:cs="Arial"/>
          <w:i/>
          <w:iCs/>
        </w:rPr>
      </w:pPr>
      <w:r w:rsidRPr="00D600B7">
        <w:rPr>
          <w:rFonts w:ascii="Arial" w:hAnsi="Arial" w:cs="Arial"/>
          <w:i/>
          <w:iCs/>
        </w:rPr>
        <w:t>Results:</w:t>
      </w:r>
    </w:p>
    <w:p w14:paraId="0F8F1E86" w14:textId="77777777" w:rsidR="00B23D89" w:rsidRDefault="006F06AD">
      <w:pPr>
        <w:rPr>
          <w:rFonts w:ascii="Arial" w:hAnsi="Arial" w:cs="Arial"/>
        </w:rPr>
      </w:pPr>
      <w:r w:rsidRPr="00C13208">
        <w:rPr>
          <w:rFonts w:ascii="Arial" w:hAnsi="Arial" w:cs="Arial"/>
        </w:rPr>
        <w:t>Genetic mapping yielded 4 adipocyte size quantitative trait loci (QTLs) and over 2700 protein QTLs (</w:t>
      </w:r>
      <w:proofErr w:type="spellStart"/>
      <w:r w:rsidRPr="00C13208">
        <w:rPr>
          <w:rFonts w:ascii="Arial" w:hAnsi="Arial" w:cs="Arial"/>
        </w:rPr>
        <w:t>pQTLs</w:t>
      </w:r>
      <w:proofErr w:type="spellEnd"/>
      <w:r w:rsidRPr="00C13208">
        <w:rPr>
          <w:rFonts w:ascii="Arial" w:hAnsi="Arial" w:cs="Arial"/>
        </w:rPr>
        <w:t xml:space="preserve">). Each adipocyte size QTL had one or more overlapping </w:t>
      </w:r>
      <w:proofErr w:type="spellStart"/>
      <w:r w:rsidRPr="00C13208">
        <w:rPr>
          <w:rFonts w:ascii="Arial" w:hAnsi="Arial" w:cs="Arial"/>
        </w:rPr>
        <w:t>pQTLs</w:t>
      </w:r>
      <w:proofErr w:type="spellEnd"/>
      <w:r w:rsidRPr="00C13208">
        <w:rPr>
          <w:rFonts w:ascii="Arial" w:hAnsi="Arial" w:cs="Arial"/>
        </w:rPr>
        <w:t xml:space="preserve"> indicating a gene – protein – trait link. Further </w:t>
      </w:r>
      <w:r w:rsidR="003D4DA0">
        <w:rPr>
          <w:rFonts w:ascii="Arial" w:hAnsi="Arial" w:cs="Arial"/>
        </w:rPr>
        <w:t xml:space="preserve">single </w:t>
      </w:r>
      <w:r w:rsidRPr="00C13208">
        <w:rPr>
          <w:rFonts w:ascii="Arial" w:hAnsi="Arial" w:cs="Arial"/>
        </w:rPr>
        <w:t xml:space="preserve">nucleotide polymorphism (SNP) analysis identified rs46563785, a variant specific to the NZO mouse strain, which associated with smaller adipocytes and increased </w:t>
      </w:r>
      <w:r w:rsidR="00C867C9">
        <w:rPr>
          <w:rFonts w:ascii="Arial" w:hAnsi="Arial" w:cs="Arial"/>
        </w:rPr>
        <w:t xml:space="preserve">expression of the </w:t>
      </w:r>
      <w:proofErr w:type="spellStart"/>
      <w:r w:rsidR="00C867C9">
        <w:rPr>
          <w:rFonts w:ascii="Arial" w:hAnsi="Arial" w:cs="Arial"/>
        </w:rPr>
        <w:t>iWAT</w:t>
      </w:r>
      <w:proofErr w:type="spellEnd"/>
      <w:r w:rsidR="00C867C9">
        <w:rPr>
          <w:rFonts w:ascii="Arial" w:hAnsi="Arial" w:cs="Arial"/>
        </w:rPr>
        <w:t xml:space="preserve"> protein </w:t>
      </w:r>
      <w:r w:rsidRPr="00C13208">
        <w:rPr>
          <w:rFonts w:ascii="Arial" w:hAnsi="Arial" w:cs="Arial"/>
        </w:rPr>
        <w:t xml:space="preserve">arylsulfatase B (ARSB). ARSB removes sulphate from chondroitin sulphate glycosaminoglycans (GAGs) which are bound to extracellular proteoglycans. Proteoglycans maintain structural support and act as an extracellular matrix (ECM) – adipocyte signalling hub where the degree of sulphation affects binding of proteins such as growth factors. To further characterise the relationship between ARSB and adipose tissue GAGs, we performed </w:t>
      </w:r>
      <w:proofErr w:type="spellStart"/>
      <w:r w:rsidRPr="00C13208">
        <w:rPr>
          <w:rFonts w:ascii="Arial" w:hAnsi="Arial" w:cs="Arial"/>
        </w:rPr>
        <w:t>glycomics</w:t>
      </w:r>
      <w:proofErr w:type="spellEnd"/>
      <w:r w:rsidRPr="00C13208">
        <w:rPr>
          <w:rFonts w:ascii="Arial" w:hAnsi="Arial" w:cs="Arial"/>
        </w:rPr>
        <w:t xml:space="preserve"> in </w:t>
      </w:r>
      <w:proofErr w:type="spellStart"/>
      <w:r w:rsidRPr="00C13208">
        <w:rPr>
          <w:rFonts w:ascii="Arial" w:hAnsi="Arial" w:cs="Arial"/>
        </w:rPr>
        <w:t>iWAT</w:t>
      </w:r>
      <w:proofErr w:type="spellEnd"/>
      <w:r w:rsidRPr="00C13208">
        <w:rPr>
          <w:rFonts w:ascii="Arial" w:hAnsi="Arial" w:cs="Arial"/>
        </w:rPr>
        <w:t xml:space="preserve"> across several inbred mouse strains and diets. Notably, NZO mice exhibited distinctly lower total chondroitin sulphate</w:t>
      </w:r>
      <w:r w:rsidR="00F94ED1">
        <w:rPr>
          <w:rFonts w:ascii="Arial" w:hAnsi="Arial" w:cs="Arial"/>
        </w:rPr>
        <w:t xml:space="preserve"> GAGs</w:t>
      </w:r>
      <w:r w:rsidRPr="00C13208">
        <w:rPr>
          <w:rFonts w:ascii="Arial" w:hAnsi="Arial" w:cs="Arial"/>
        </w:rPr>
        <w:t xml:space="preserve">, and </w:t>
      </w:r>
      <w:r w:rsidR="00F94ED1">
        <w:rPr>
          <w:rFonts w:ascii="Arial" w:hAnsi="Arial" w:cs="Arial"/>
        </w:rPr>
        <w:t xml:space="preserve">decreased </w:t>
      </w:r>
      <w:r w:rsidRPr="00C13208">
        <w:rPr>
          <w:rFonts w:ascii="Arial" w:hAnsi="Arial" w:cs="Arial"/>
        </w:rPr>
        <w:t>sulphation in-line with greater ARSB activity.</w:t>
      </w:r>
    </w:p>
    <w:p w14:paraId="189A0A67" w14:textId="52B07AB4" w:rsidR="00B23D89" w:rsidRPr="00D600B7" w:rsidRDefault="00B23D89">
      <w:pPr>
        <w:rPr>
          <w:rFonts w:ascii="Arial" w:hAnsi="Arial" w:cs="Arial"/>
          <w:i/>
          <w:iCs/>
        </w:rPr>
      </w:pPr>
      <w:r w:rsidRPr="00D600B7">
        <w:rPr>
          <w:rFonts w:ascii="Arial" w:hAnsi="Arial" w:cs="Arial"/>
          <w:i/>
          <w:iCs/>
        </w:rPr>
        <w:t>Conclusion:</w:t>
      </w:r>
    </w:p>
    <w:p w14:paraId="3CDAE25D" w14:textId="0092BE45" w:rsidR="00600B19" w:rsidRPr="00C13208" w:rsidRDefault="006F06AD">
      <w:pPr>
        <w:rPr>
          <w:rFonts w:ascii="Arial" w:hAnsi="Arial" w:cs="Arial"/>
        </w:rPr>
      </w:pPr>
      <w:r w:rsidRPr="00C13208">
        <w:rPr>
          <w:rFonts w:ascii="Arial" w:hAnsi="Arial" w:cs="Arial"/>
        </w:rPr>
        <w:t>Together, these results suggest that ARSB plays a crucial role in ECM proteoglycan remodelling regulating adipocyte size.</w:t>
      </w:r>
    </w:p>
    <w:sectPr w:rsidR="00600B19" w:rsidRPr="00C132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AD"/>
    <w:rsid w:val="000064B3"/>
    <w:rsid w:val="00010703"/>
    <w:rsid w:val="00016732"/>
    <w:rsid w:val="00271F91"/>
    <w:rsid w:val="003177A4"/>
    <w:rsid w:val="003B0041"/>
    <w:rsid w:val="003B6EDD"/>
    <w:rsid w:val="003D4DA0"/>
    <w:rsid w:val="00467D6B"/>
    <w:rsid w:val="004E3B83"/>
    <w:rsid w:val="0052630D"/>
    <w:rsid w:val="00600B19"/>
    <w:rsid w:val="006809EE"/>
    <w:rsid w:val="006F06AD"/>
    <w:rsid w:val="007E0691"/>
    <w:rsid w:val="00835E3D"/>
    <w:rsid w:val="008415F4"/>
    <w:rsid w:val="00845F5C"/>
    <w:rsid w:val="009436EC"/>
    <w:rsid w:val="009B65C7"/>
    <w:rsid w:val="00AA4593"/>
    <w:rsid w:val="00B23D89"/>
    <w:rsid w:val="00C13208"/>
    <w:rsid w:val="00C867C9"/>
    <w:rsid w:val="00CE1B39"/>
    <w:rsid w:val="00CF1EB8"/>
    <w:rsid w:val="00D600B7"/>
    <w:rsid w:val="00DA2EBA"/>
    <w:rsid w:val="00F94ED1"/>
    <w:rsid w:val="00FE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A5E79"/>
  <w15:chartTrackingRefBased/>
  <w15:docId w15:val="{AF2C6E21-F6A8-4605-BEF7-71C17FEA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6AD"/>
  </w:style>
  <w:style w:type="paragraph" w:styleId="Heading1">
    <w:name w:val="heading 1"/>
    <w:basedOn w:val="Normal"/>
    <w:next w:val="Normal"/>
    <w:link w:val="Heading1Char"/>
    <w:uiPriority w:val="9"/>
    <w:qFormat/>
    <w:rsid w:val="006F0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6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6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6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6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6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6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6A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F06A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E90133-94A3-4625-B4BA-C0E265AF7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010CF0-7C19-49B6-813F-73F097C1A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06F04F-99DB-41D9-80F9-C5AA6F77932D}">
  <ds:schemaRefs>
    <ds:schemaRef ds:uri="http://purl.org/dc/terms/"/>
    <ds:schemaRef ds:uri="6911e96c-4cc4-42d5-8e43-f93924cf6a05"/>
    <ds:schemaRef ds:uri="9c8a2b7b-0bee-4c48-b0a6-23db8982d3bc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b52c9b-ab33-4221-8af9-54f8f2b86a8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Lambert</dc:creator>
  <cp:keywords/>
  <dc:description/>
  <cp:lastModifiedBy>Tanya Yandall</cp:lastModifiedBy>
  <cp:revision>3</cp:revision>
  <dcterms:created xsi:type="dcterms:W3CDTF">2025-05-26T21:59:00Z</dcterms:created>
  <dcterms:modified xsi:type="dcterms:W3CDTF">2025-05-26T21:59:00Z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