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Pr="0050053A" w:rsidR="001564A4" w:rsidTr="732D8897" w14:paraId="5C38377B" w14:textId="77777777">
        <w:trPr>
          <w:jc w:val="center"/>
        </w:trPr>
        <w:tc>
          <w:tcPr>
            <w:tcW w:w="8640" w:type="dxa"/>
            <w:shd w:val="clear" w:color="auto" w:fill="auto"/>
            <w:tcMar/>
          </w:tcPr>
          <w:p w:rsidRPr="00604148" w:rsidR="001564A4" w:rsidP="00604148" w:rsidRDefault="0036585D" w14:paraId="5C44F357" w14:textId="64B1FD6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58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Lung cancer </w:t>
            </w:r>
            <w:r w:rsidR="00DC4C74">
              <w:rPr>
                <w:rFonts w:ascii="Arial" w:hAnsi="Arial" w:cs="Arial"/>
                <w:b/>
                <w:bCs/>
                <w:sz w:val="22"/>
                <w:szCs w:val="22"/>
              </w:rPr>
              <w:t>screening eligibility</w:t>
            </w:r>
            <w:r w:rsidRPr="003658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 Quitline Clients</w:t>
            </w:r>
            <w:r w:rsidR="00CE0F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Pr="0050053A" w:rsidR="001564A4" w:rsidTr="732D8897" w14:paraId="0E2E035C" w14:textId="77777777">
        <w:trPr>
          <w:jc w:val="center"/>
        </w:trPr>
        <w:tc>
          <w:tcPr>
            <w:tcW w:w="8640" w:type="dxa"/>
            <w:shd w:val="clear" w:color="auto" w:fill="auto"/>
            <w:tcMar/>
          </w:tcPr>
          <w:p w:rsidRPr="00604148" w:rsidR="001564A4" w:rsidP="00CE0FA2" w:rsidRDefault="00A25553" w14:paraId="73B55295" w14:textId="443F1E6E">
            <w:pPr>
              <w:rPr>
                <w:rFonts w:ascii="Arial" w:hAnsi="Arial" w:cs="Arial"/>
                <w:sz w:val="22"/>
                <w:szCs w:val="22"/>
              </w:rPr>
            </w:pPr>
            <w:r w:rsidRPr="00604148">
              <w:rPr>
                <w:rFonts w:ascii="Arial" w:hAnsi="Arial" w:cs="Arial"/>
                <w:sz w:val="22"/>
                <w:szCs w:val="22"/>
              </w:rPr>
              <w:t>Henry Marshall</w:t>
            </w:r>
            <w:r w:rsidR="0036585D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,</w:t>
            </w:r>
            <w:r w:rsidR="0036585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604148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3F68" w:rsidR="00F63F68">
              <w:rPr>
                <w:rFonts w:ascii="Arial" w:hAnsi="Arial" w:cs="Arial"/>
                <w:sz w:val="22"/>
                <w:szCs w:val="22"/>
              </w:rPr>
              <w:t>Joanne Isbel</w:t>
            </w:r>
            <w:r w:rsidRPr="001826EF" w:rsidR="00F63F68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F63F68" w:rsidR="00F63F68">
              <w:rPr>
                <w:rFonts w:ascii="Arial" w:hAnsi="Arial" w:cs="Arial"/>
                <w:sz w:val="22"/>
                <w:szCs w:val="22"/>
              </w:rPr>
              <w:t>, Shelley Peardon-Freeman</w:t>
            </w:r>
            <w:r w:rsidRPr="001826EF" w:rsidR="00F63F68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F63F68" w:rsidR="00F63F6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F7010" w:rsidR="001F7010">
              <w:rPr>
                <w:rFonts w:ascii="Arial" w:hAnsi="Arial" w:cs="Arial"/>
                <w:sz w:val="22"/>
                <w:szCs w:val="22"/>
              </w:rPr>
              <w:t>Eve Mitsopoulos</w:t>
            </w:r>
            <w:r w:rsidRPr="00BC0BD0" w:rsidR="00BC0BD0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  <w:r w:rsidR="00BC0BD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F7010" w:rsidR="001F7010">
              <w:rPr>
                <w:rFonts w:ascii="Arial" w:hAnsi="Arial" w:cs="Arial"/>
                <w:sz w:val="22"/>
                <w:szCs w:val="22"/>
              </w:rPr>
              <w:t>Cathy Segan</w:t>
            </w:r>
            <w:r w:rsidRPr="007C6AF3" w:rsidR="007C6AF3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  <w:r w:rsidR="00955E00">
              <w:rPr>
                <w:rFonts w:ascii="Arial" w:hAnsi="Arial" w:cs="Arial"/>
                <w:sz w:val="22"/>
                <w:szCs w:val="22"/>
                <w:vertAlign w:val="superscript"/>
              </w:rPr>
              <w:t>,5</w:t>
            </w:r>
            <w:r w:rsidR="007C6AF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63F68" w:rsidR="00F63F68">
              <w:rPr>
                <w:rFonts w:ascii="Arial" w:hAnsi="Arial" w:cs="Arial"/>
                <w:sz w:val="22"/>
                <w:szCs w:val="22"/>
              </w:rPr>
              <w:t>Kwun Fong</w:t>
            </w:r>
            <w:r w:rsidRPr="007C6AF3" w:rsidR="00F63F68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</w:p>
        </w:tc>
      </w:tr>
      <w:tr w:rsidRPr="0050053A" w:rsidR="001564A4" w:rsidTr="732D8897" w14:paraId="385A19D9" w14:textId="77777777">
        <w:trPr>
          <w:trHeight w:val="136"/>
          <w:jc w:val="center"/>
        </w:trPr>
        <w:tc>
          <w:tcPr>
            <w:tcW w:w="8640" w:type="dxa"/>
            <w:shd w:val="clear" w:color="auto" w:fill="auto"/>
            <w:tcMar/>
          </w:tcPr>
          <w:p w:rsidRPr="0053769E" w:rsidR="00A25553" w:rsidP="00A25553" w:rsidRDefault="00A25553" w14:paraId="7758169C" w14:textId="317708D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53769E">
              <w:rPr>
                <w:rFonts w:ascii="Arial" w:hAnsi="Arial" w:cs="Arial"/>
              </w:rPr>
              <w:t xml:space="preserve">Department of Thoracic Medicine, The Prince Charles Hospital, Brisbane </w:t>
            </w:r>
            <w:r w:rsidRPr="0053769E">
              <w:rPr>
                <w:rFonts w:ascii="Arial" w:hAnsi="Arial" w:cs="Arial"/>
                <w:color w:val="000000" w:themeColor="text1"/>
              </w:rPr>
              <w:t>Queensland</w:t>
            </w:r>
          </w:p>
          <w:p w:rsidRPr="0053769E" w:rsidR="00A25553" w:rsidP="732D8897" w:rsidRDefault="00A25553" w14:paraId="09685D28" w14:textId="77777777" w14:noSpellErr="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eastAsia="Arial" w:cs="Arial"/>
                <w:color w:val="000000" w:themeColor="text1"/>
              </w:rPr>
            </w:pPr>
            <w:r w:rsidRPr="732D8897" w:rsidR="00A25553">
              <w:rPr>
                <w:rFonts w:ascii="Arial" w:hAnsi="Arial" w:eastAsia="Arial" w:cs="Arial"/>
                <w:color w:val="000000" w:themeColor="text1" w:themeTint="FF" w:themeShade="FF"/>
              </w:rPr>
              <w:t>The University of Queensland Thoracic Research Centre, Brisbane Queensland</w:t>
            </w:r>
          </w:p>
          <w:p w:rsidR="34B42960" w:rsidP="732D8897" w:rsidRDefault="34B42960" w14:paraId="4E7F2BB5" w14:textId="7A5767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732D8897" w:rsidR="34B4296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Quitline Service, Health Contact Centre, Queensland Department of Health, Queensland</w:t>
            </w:r>
          </w:p>
          <w:p w:rsidR="00C27C7A" w:rsidP="732D8897" w:rsidRDefault="00C427F0" w14:paraId="73DB81F9" w14:textId="60312F22" w14:noSpellErr="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eastAsia="Arial" w:cs="Arial"/>
                <w:color w:val="000000" w:themeColor="text1"/>
              </w:rPr>
            </w:pPr>
            <w:r w:rsidRPr="732D8897" w:rsidR="00C427F0">
              <w:rPr>
                <w:rFonts w:ascii="Arial" w:hAnsi="Arial" w:eastAsia="Arial" w:cs="Arial"/>
                <w:color w:val="000000" w:themeColor="text1" w:themeTint="FF" w:themeShade="FF"/>
              </w:rPr>
              <w:t>Cancer Council Victoria</w:t>
            </w:r>
            <w:r w:rsidRPr="732D8897" w:rsidR="00FA600E">
              <w:rPr>
                <w:rFonts w:ascii="Arial" w:hAnsi="Arial" w:eastAsia="Arial" w:cs="Arial"/>
                <w:color w:val="000000" w:themeColor="text1" w:themeTint="FF" w:themeShade="FF"/>
              </w:rPr>
              <w:t>, Melbourne, Victoria</w:t>
            </w:r>
          </w:p>
          <w:p w:rsidRPr="0053769E" w:rsidR="00C427F0" w:rsidP="00C427F0" w:rsidRDefault="00C427F0" w14:paraId="45ED36BF" w14:textId="599722B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732D8897" w:rsidR="00C427F0">
              <w:rPr>
                <w:rFonts w:ascii="Arial" w:hAnsi="Arial" w:cs="Arial"/>
                <w:color w:val="000000" w:themeColor="text1" w:themeTint="FF" w:themeShade="FF"/>
              </w:rPr>
              <w:t>School of Population and Global Health</w:t>
            </w:r>
            <w:r w:rsidRPr="732D8897" w:rsidR="00C427F0">
              <w:rPr>
                <w:rFonts w:ascii="Arial" w:hAnsi="Arial" w:cs="Arial"/>
                <w:color w:val="000000" w:themeColor="text1" w:themeTint="FF" w:themeShade="FF"/>
              </w:rPr>
              <w:t xml:space="preserve">, </w:t>
            </w:r>
            <w:r w:rsidRPr="732D8897" w:rsidR="00C427F0">
              <w:rPr>
                <w:rFonts w:ascii="Arial" w:hAnsi="Arial" w:cs="Arial"/>
                <w:color w:val="000000" w:themeColor="text1" w:themeTint="FF" w:themeShade="FF"/>
              </w:rPr>
              <w:t>University of Melbourne</w:t>
            </w:r>
            <w:r w:rsidRPr="732D8897" w:rsidR="00D249DA">
              <w:rPr>
                <w:rFonts w:ascii="Arial" w:hAnsi="Arial" w:cs="Arial"/>
                <w:color w:val="000000" w:themeColor="text1" w:themeTint="FF" w:themeShade="FF"/>
              </w:rPr>
              <w:t>, Victoria</w:t>
            </w:r>
          </w:p>
        </w:tc>
      </w:tr>
      <w:tr w:rsidRPr="0050053A" w:rsidR="001564A4" w:rsidTr="732D8897" w14:paraId="6DAF615A" w14:textId="77777777">
        <w:trPr>
          <w:trHeight w:val="9721" w:hRule="exact"/>
          <w:jc w:val="center"/>
        </w:trPr>
        <w:tc>
          <w:tcPr>
            <w:tcW w:w="8640" w:type="dxa"/>
            <w:shd w:val="clear" w:color="auto" w:fill="auto"/>
            <w:tcMar/>
          </w:tcPr>
          <w:p w:rsidRPr="004C7E8C" w:rsidR="001564A4" w:rsidP="000A28E2" w:rsidRDefault="001564A4" w14:paraId="739E7937" w14:textId="42534C16">
            <w:pPr>
              <w:pStyle w:val="Pa12"/>
              <w:rPr>
                <w:rStyle w:val="A4"/>
              </w:rPr>
            </w:pPr>
            <w:r w:rsidRPr="00B36B82">
              <w:rPr>
                <w:rStyle w:val="A4"/>
                <w:b/>
                <w:bCs/>
              </w:rPr>
              <w:t xml:space="preserve">Introduction/Aim: </w:t>
            </w:r>
            <w:r w:rsidRPr="004C7E8C" w:rsidR="004C7E8C">
              <w:rPr>
                <w:rStyle w:val="A4"/>
              </w:rPr>
              <w:t>Australia will</w:t>
            </w:r>
            <w:r w:rsidR="004C7E8C">
              <w:rPr>
                <w:rStyle w:val="A4"/>
                <w:b/>
                <w:bCs/>
              </w:rPr>
              <w:t xml:space="preserve"> </w:t>
            </w:r>
            <w:r w:rsidR="00BE74BE">
              <w:rPr>
                <w:rStyle w:val="A4"/>
              </w:rPr>
              <w:t xml:space="preserve">implement its National Lung Cancer Screening </w:t>
            </w:r>
            <w:r w:rsidR="000B116D">
              <w:rPr>
                <w:rStyle w:val="A4"/>
              </w:rPr>
              <w:t>P</w:t>
            </w:r>
            <w:r w:rsidR="00BE74BE">
              <w:rPr>
                <w:rStyle w:val="A4"/>
              </w:rPr>
              <w:t>rogram in 2025</w:t>
            </w:r>
            <w:r w:rsidR="00AE09F3">
              <w:rPr>
                <w:rStyle w:val="A4"/>
              </w:rPr>
              <w:t xml:space="preserve"> (NLCSP)</w:t>
            </w:r>
            <w:r w:rsidR="00BE74BE">
              <w:rPr>
                <w:rStyle w:val="A4"/>
              </w:rPr>
              <w:t xml:space="preserve">. </w:t>
            </w:r>
            <w:r w:rsidRPr="004C7E8C" w:rsidR="004C7E8C">
              <w:rPr>
                <w:rStyle w:val="A4"/>
              </w:rPr>
              <w:t>Patient-</w:t>
            </w:r>
            <w:proofErr w:type="spellStart"/>
            <w:r w:rsidRPr="004C7E8C" w:rsidR="004C7E8C">
              <w:rPr>
                <w:rStyle w:val="A4"/>
              </w:rPr>
              <w:t>centered</w:t>
            </w:r>
            <w:proofErr w:type="spellEnd"/>
            <w:r w:rsidRPr="004C7E8C" w:rsidR="004C7E8C">
              <w:rPr>
                <w:rStyle w:val="A4"/>
              </w:rPr>
              <w:t xml:space="preserve"> lung cancer screening (LCS) should offer multiple, diverse entry points for people at risk. Recruit</w:t>
            </w:r>
            <w:r w:rsidR="00DA0225">
              <w:rPr>
                <w:rStyle w:val="A4"/>
              </w:rPr>
              <w:t xml:space="preserve">ment </w:t>
            </w:r>
            <w:r w:rsidR="00EB234D">
              <w:rPr>
                <w:rStyle w:val="A4"/>
              </w:rPr>
              <w:t>to LCS via</w:t>
            </w:r>
            <w:r w:rsidRPr="004C7E8C" w:rsidR="004C7E8C">
              <w:rPr>
                <w:rStyle w:val="A4"/>
              </w:rPr>
              <w:t xml:space="preserve"> </w:t>
            </w:r>
            <w:r w:rsidR="00DA0225">
              <w:rPr>
                <w:rStyle w:val="A4"/>
              </w:rPr>
              <w:t xml:space="preserve">Quitline </w:t>
            </w:r>
            <w:r w:rsidR="005A1128">
              <w:rPr>
                <w:rStyle w:val="A4"/>
              </w:rPr>
              <w:t>should be explored because</w:t>
            </w:r>
            <w:r w:rsidRPr="004C7E8C" w:rsidR="004C7E8C">
              <w:rPr>
                <w:rStyle w:val="A4"/>
              </w:rPr>
              <w:t xml:space="preserve"> 1) </w:t>
            </w:r>
            <w:r w:rsidR="005A1128">
              <w:rPr>
                <w:rStyle w:val="A4"/>
              </w:rPr>
              <w:t xml:space="preserve">excellent </w:t>
            </w:r>
            <w:r w:rsidRPr="004C7E8C" w:rsidR="004C7E8C">
              <w:rPr>
                <w:rStyle w:val="A4"/>
              </w:rPr>
              <w:t xml:space="preserve">client </w:t>
            </w:r>
            <w:r w:rsidR="005A1128">
              <w:rPr>
                <w:rStyle w:val="A4"/>
              </w:rPr>
              <w:t>reach/</w:t>
            </w:r>
            <w:r w:rsidRPr="004C7E8C" w:rsidR="004C7E8C">
              <w:rPr>
                <w:rStyle w:val="A4"/>
              </w:rPr>
              <w:t xml:space="preserve">ease of access (by telephone); 2) </w:t>
            </w:r>
            <w:r w:rsidR="00004EFC">
              <w:rPr>
                <w:rStyle w:val="A4"/>
              </w:rPr>
              <w:t xml:space="preserve">high </w:t>
            </w:r>
            <w:r w:rsidRPr="004C7E8C" w:rsidR="004C7E8C">
              <w:rPr>
                <w:rStyle w:val="A4"/>
              </w:rPr>
              <w:t>client interest in behaviour change (motivat</w:t>
            </w:r>
            <w:r w:rsidR="00004EFC">
              <w:rPr>
                <w:rStyle w:val="A4"/>
              </w:rPr>
              <w:t>ed</w:t>
            </w:r>
            <w:r w:rsidRPr="004C7E8C" w:rsidR="004C7E8C">
              <w:rPr>
                <w:rStyle w:val="A4"/>
              </w:rPr>
              <w:t xml:space="preserve"> to quit smoking); </w:t>
            </w:r>
            <w:r w:rsidR="00004EFC">
              <w:rPr>
                <w:rStyle w:val="A4"/>
              </w:rPr>
              <w:t xml:space="preserve">3) </w:t>
            </w:r>
            <w:r w:rsidRPr="004C7E8C" w:rsidR="00004EFC">
              <w:rPr>
                <w:rStyle w:val="A4"/>
              </w:rPr>
              <w:t xml:space="preserve">possible </w:t>
            </w:r>
            <w:r w:rsidR="00004EFC">
              <w:rPr>
                <w:rStyle w:val="A4"/>
              </w:rPr>
              <w:t>reciprocal</w:t>
            </w:r>
            <w:r w:rsidRPr="004C7E8C" w:rsidR="00004EFC">
              <w:rPr>
                <w:rStyle w:val="A4"/>
              </w:rPr>
              <w:t xml:space="preserve"> benefit of LCS on smoking cessation outcomes.</w:t>
            </w:r>
            <w:r w:rsidR="00876B81">
              <w:rPr>
                <w:rStyle w:val="A4"/>
              </w:rPr>
              <w:t xml:space="preserve"> </w:t>
            </w:r>
            <w:r w:rsidRPr="004C7E8C" w:rsidR="004C7E8C">
              <w:rPr>
                <w:rStyle w:val="A4"/>
              </w:rPr>
              <w:t xml:space="preserve">We </w:t>
            </w:r>
            <w:r w:rsidR="00004EFC">
              <w:rPr>
                <w:rStyle w:val="A4"/>
              </w:rPr>
              <w:t xml:space="preserve">hypothesise </w:t>
            </w:r>
            <w:r w:rsidR="00876B81">
              <w:rPr>
                <w:rStyle w:val="A4"/>
              </w:rPr>
              <w:t xml:space="preserve">that Quitline clients represent a </w:t>
            </w:r>
            <w:r w:rsidRPr="004C7E8C" w:rsidR="00004EFC">
              <w:rPr>
                <w:rStyle w:val="A4"/>
              </w:rPr>
              <w:t>high-risk cohort</w:t>
            </w:r>
            <w:r w:rsidR="00876B81">
              <w:rPr>
                <w:rStyle w:val="A4"/>
              </w:rPr>
              <w:t>. We</w:t>
            </w:r>
            <w:r w:rsidRPr="004C7E8C" w:rsidR="00004EFC">
              <w:rPr>
                <w:rStyle w:val="A4"/>
              </w:rPr>
              <w:t xml:space="preserve"> </w:t>
            </w:r>
            <w:r w:rsidRPr="004C7E8C" w:rsidR="004C7E8C">
              <w:rPr>
                <w:rStyle w:val="A4"/>
              </w:rPr>
              <w:t xml:space="preserve">aimed to explore lung cancer risk in clients of </w:t>
            </w:r>
            <w:r w:rsidR="00265961">
              <w:rPr>
                <w:rStyle w:val="A4"/>
              </w:rPr>
              <w:t>Statewide</w:t>
            </w:r>
            <w:r w:rsidRPr="004C7E8C" w:rsidR="004C7E8C">
              <w:rPr>
                <w:rStyle w:val="A4"/>
              </w:rPr>
              <w:t xml:space="preserve"> Quitline service</w:t>
            </w:r>
            <w:r w:rsidR="00265961">
              <w:rPr>
                <w:rStyle w:val="A4"/>
              </w:rPr>
              <w:t>s</w:t>
            </w:r>
            <w:r w:rsidRPr="004C7E8C" w:rsidR="004C7E8C">
              <w:rPr>
                <w:rStyle w:val="A4"/>
              </w:rPr>
              <w:t>.</w:t>
            </w:r>
          </w:p>
          <w:p w:rsidR="00860290" w:rsidP="000A28E2" w:rsidRDefault="001564A4" w14:paraId="4531FBA8" w14:textId="4802607F">
            <w:pPr>
              <w:pStyle w:val="Pa12"/>
              <w:rPr>
                <w:color w:val="000000"/>
                <w:sz w:val="22"/>
                <w:szCs w:val="22"/>
              </w:rPr>
            </w:pPr>
            <w:r w:rsidRPr="00B36B82">
              <w:rPr>
                <w:rStyle w:val="A4"/>
                <w:b/>
                <w:bCs/>
              </w:rPr>
              <w:t xml:space="preserve">Methods: </w:t>
            </w:r>
            <w:r w:rsidRPr="002B6C26" w:rsidR="002B6C26">
              <w:rPr>
                <w:color w:val="000000"/>
                <w:sz w:val="22"/>
                <w:szCs w:val="22"/>
              </w:rPr>
              <w:t xml:space="preserve">We analysed anonymised administratively collected data </w:t>
            </w:r>
            <w:r w:rsidR="002B6C26">
              <w:rPr>
                <w:color w:val="000000"/>
                <w:sz w:val="22"/>
                <w:szCs w:val="22"/>
              </w:rPr>
              <w:t>(</w:t>
            </w:r>
            <w:r w:rsidRPr="002B6C26" w:rsidR="002B6C26">
              <w:rPr>
                <w:color w:val="000000"/>
                <w:sz w:val="22"/>
                <w:szCs w:val="22"/>
              </w:rPr>
              <w:t>FY2021/22</w:t>
            </w:r>
            <w:r w:rsidR="002B6C26">
              <w:rPr>
                <w:color w:val="000000"/>
                <w:sz w:val="22"/>
                <w:szCs w:val="22"/>
              </w:rPr>
              <w:t>)</w:t>
            </w:r>
            <w:r w:rsidR="00894787">
              <w:rPr>
                <w:color w:val="000000"/>
                <w:sz w:val="22"/>
                <w:szCs w:val="22"/>
              </w:rPr>
              <w:t xml:space="preserve"> from Quitline services in QLD, VIC, NT, </w:t>
            </w:r>
            <w:proofErr w:type="gramStart"/>
            <w:r w:rsidR="00894787">
              <w:rPr>
                <w:color w:val="000000"/>
                <w:sz w:val="22"/>
                <w:szCs w:val="22"/>
              </w:rPr>
              <w:t>SA</w:t>
            </w:r>
            <w:proofErr w:type="gramEnd"/>
            <w:r w:rsidR="00894787">
              <w:rPr>
                <w:color w:val="000000"/>
                <w:sz w:val="22"/>
                <w:szCs w:val="22"/>
              </w:rPr>
              <w:t xml:space="preserve"> and WA</w:t>
            </w:r>
            <w:r w:rsidRPr="002B6C26" w:rsidR="002B6C26">
              <w:rPr>
                <w:color w:val="000000"/>
                <w:sz w:val="22"/>
                <w:szCs w:val="22"/>
              </w:rPr>
              <w:t xml:space="preserve">. We applied </w:t>
            </w:r>
            <w:r w:rsidR="00894787">
              <w:rPr>
                <w:color w:val="000000"/>
                <w:sz w:val="22"/>
                <w:szCs w:val="22"/>
              </w:rPr>
              <w:t>three eligibility models</w:t>
            </w:r>
            <w:r w:rsidR="00BF46E6">
              <w:rPr>
                <w:color w:val="000000"/>
                <w:sz w:val="22"/>
                <w:szCs w:val="22"/>
              </w:rPr>
              <w:t xml:space="preserve"> (</w:t>
            </w:r>
            <w:r w:rsidR="00350F66">
              <w:rPr>
                <w:color w:val="000000"/>
                <w:sz w:val="22"/>
                <w:szCs w:val="22"/>
              </w:rPr>
              <w:t>MSAC</w:t>
            </w:r>
            <w:r w:rsidR="00507EA3">
              <w:rPr>
                <w:color w:val="000000"/>
                <w:sz w:val="22"/>
                <w:szCs w:val="22"/>
              </w:rPr>
              <w:t xml:space="preserve"> [</w:t>
            </w:r>
            <w:r w:rsidR="00255155">
              <w:rPr>
                <w:color w:val="000000"/>
                <w:sz w:val="22"/>
                <w:szCs w:val="22"/>
              </w:rPr>
              <w:t xml:space="preserve">age </w:t>
            </w:r>
            <w:r w:rsidR="00DD0930">
              <w:rPr>
                <w:color w:val="000000"/>
                <w:sz w:val="22"/>
                <w:szCs w:val="22"/>
              </w:rPr>
              <w:t>min</w:t>
            </w:r>
            <w:r w:rsidR="00B90950">
              <w:rPr>
                <w:color w:val="000000"/>
                <w:sz w:val="22"/>
                <w:szCs w:val="22"/>
              </w:rPr>
              <w:t>-age max</w:t>
            </w:r>
            <w:r w:rsidR="00255155">
              <w:rPr>
                <w:color w:val="000000"/>
                <w:sz w:val="22"/>
                <w:szCs w:val="22"/>
              </w:rPr>
              <w:t>-</w:t>
            </w:r>
            <w:r w:rsidR="00C667D2">
              <w:rPr>
                <w:color w:val="000000"/>
                <w:sz w:val="22"/>
                <w:szCs w:val="22"/>
              </w:rPr>
              <w:t xml:space="preserve">min </w:t>
            </w:r>
            <w:r w:rsidR="00255155">
              <w:rPr>
                <w:color w:val="000000"/>
                <w:sz w:val="22"/>
                <w:szCs w:val="22"/>
              </w:rPr>
              <w:t>pack year</w:t>
            </w:r>
            <w:r w:rsidR="00C667D2">
              <w:rPr>
                <w:color w:val="000000"/>
                <w:sz w:val="22"/>
                <w:szCs w:val="22"/>
              </w:rPr>
              <w:t>s-max quit years]</w:t>
            </w:r>
            <w:r w:rsidR="00AC45D9">
              <w:rPr>
                <w:color w:val="000000"/>
                <w:sz w:val="22"/>
                <w:szCs w:val="22"/>
              </w:rPr>
              <w:t xml:space="preserve">, </w:t>
            </w:r>
            <w:r w:rsidR="00255155">
              <w:rPr>
                <w:color w:val="000000"/>
                <w:sz w:val="22"/>
                <w:szCs w:val="22"/>
              </w:rPr>
              <w:t>50-70-30-10]</w:t>
            </w:r>
            <w:r w:rsidR="00350F66">
              <w:rPr>
                <w:color w:val="000000"/>
                <w:sz w:val="22"/>
                <w:szCs w:val="22"/>
              </w:rPr>
              <w:t>, USPSTF2021</w:t>
            </w:r>
            <w:r w:rsidR="00AC45D9">
              <w:rPr>
                <w:color w:val="000000"/>
                <w:sz w:val="22"/>
                <w:szCs w:val="22"/>
              </w:rPr>
              <w:t xml:space="preserve"> [50-8</w:t>
            </w:r>
            <w:r w:rsidR="00E43C5B">
              <w:rPr>
                <w:color w:val="000000"/>
                <w:sz w:val="22"/>
                <w:szCs w:val="22"/>
              </w:rPr>
              <w:t>0-20</w:t>
            </w:r>
            <w:r w:rsidR="00001FEC">
              <w:rPr>
                <w:color w:val="000000"/>
                <w:sz w:val="22"/>
                <w:szCs w:val="22"/>
              </w:rPr>
              <w:t>-15]</w:t>
            </w:r>
            <w:r w:rsidR="00324F43">
              <w:rPr>
                <w:color w:val="000000"/>
                <w:sz w:val="22"/>
                <w:szCs w:val="22"/>
              </w:rPr>
              <w:t xml:space="preserve"> and</w:t>
            </w:r>
            <w:r w:rsidR="00350F66">
              <w:rPr>
                <w:color w:val="000000"/>
                <w:sz w:val="22"/>
                <w:szCs w:val="22"/>
              </w:rPr>
              <w:t xml:space="preserve"> </w:t>
            </w:r>
            <w:r w:rsidRPr="002B6C26" w:rsidR="002B6C26">
              <w:rPr>
                <w:color w:val="000000"/>
                <w:sz w:val="22"/>
                <w:szCs w:val="22"/>
              </w:rPr>
              <w:t xml:space="preserve">PLCOm2012 </w:t>
            </w:r>
            <w:r w:rsidR="00350F66">
              <w:rPr>
                <w:color w:val="000000"/>
                <w:sz w:val="22"/>
                <w:szCs w:val="22"/>
              </w:rPr>
              <w:t>[</w:t>
            </w:r>
            <w:r w:rsidR="00331682">
              <w:rPr>
                <w:color w:val="000000"/>
                <w:sz w:val="22"/>
                <w:szCs w:val="22"/>
              </w:rPr>
              <w:t xml:space="preserve">11 variables; </w:t>
            </w:r>
            <w:r w:rsidRPr="002B6C26" w:rsidR="002B6C26">
              <w:rPr>
                <w:color w:val="000000"/>
                <w:sz w:val="22"/>
                <w:szCs w:val="22"/>
              </w:rPr>
              <w:t xml:space="preserve">threshold ≥1.51% </w:t>
            </w:r>
            <w:r w:rsidRPr="002B6C26" w:rsidR="00350F66">
              <w:rPr>
                <w:color w:val="000000"/>
                <w:sz w:val="22"/>
                <w:szCs w:val="22"/>
              </w:rPr>
              <w:t>6-year lung cancer risk</w:t>
            </w:r>
            <w:r w:rsidR="00350F66">
              <w:rPr>
                <w:color w:val="000000"/>
                <w:sz w:val="22"/>
                <w:szCs w:val="22"/>
              </w:rPr>
              <w:t>])</w:t>
            </w:r>
            <w:r w:rsidRPr="002B6C26" w:rsidR="002B6C26">
              <w:rPr>
                <w:color w:val="000000"/>
                <w:sz w:val="22"/>
                <w:szCs w:val="22"/>
              </w:rPr>
              <w:t xml:space="preserve">. Inclusion criteria: aged </w:t>
            </w:r>
            <w:r w:rsidR="00860290">
              <w:rPr>
                <w:color w:val="000000"/>
                <w:sz w:val="22"/>
                <w:szCs w:val="22"/>
              </w:rPr>
              <w:t>&gt;=</w:t>
            </w:r>
            <w:r w:rsidR="00B90950">
              <w:rPr>
                <w:color w:val="000000"/>
                <w:sz w:val="22"/>
                <w:szCs w:val="22"/>
              </w:rPr>
              <w:t>18</w:t>
            </w:r>
            <w:r w:rsidRPr="002B6C26" w:rsidR="002B6C26">
              <w:rPr>
                <w:color w:val="000000"/>
                <w:sz w:val="22"/>
                <w:szCs w:val="22"/>
              </w:rPr>
              <w:t xml:space="preserve"> years, current</w:t>
            </w:r>
            <w:r w:rsidR="00860290">
              <w:rPr>
                <w:color w:val="000000"/>
                <w:sz w:val="22"/>
                <w:szCs w:val="22"/>
              </w:rPr>
              <w:t>ly</w:t>
            </w:r>
            <w:r w:rsidRPr="002B6C26" w:rsidR="002B6C26">
              <w:rPr>
                <w:color w:val="000000"/>
                <w:sz w:val="22"/>
                <w:szCs w:val="22"/>
              </w:rPr>
              <w:t xml:space="preserve"> smok</w:t>
            </w:r>
            <w:r w:rsidR="00860290">
              <w:rPr>
                <w:color w:val="000000"/>
                <w:sz w:val="22"/>
                <w:szCs w:val="22"/>
              </w:rPr>
              <w:t>ing</w:t>
            </w:r>
            <w:r w:rsidRPr="002B6C26" w:rsidR="002B6C26">
              <w:rPr>
                <w:color w:val="000000"/>
                <w:sz w:val="22"/>
                <w:szCs w:val="22"/>
              </w:rPr>
              <w:t xml:space="preserve">, first Quitline contact. </w:t>
            </w:r>
            <w:r w:rsidR="006250BA">
              <w:rPr>
                <w:color w:val="000000"/>
                <w:sz w:val="22"/>
                <w:szCs w:val="22"/>
                <w:lang w:val="en-GB"/>
              </w:rPr>
              <w:t xml:space="preserve">We performed complete case analysis using </w:t>
            </w:r>
            <w:r w:rsidRPr="006250BA" w:rsidR="006250BA">
              <w:rPr>
                <w:color w:val="000000"/>
                <w:sz w:val="22"/>
                <w:szCs w:val="22"/>
                <w:lang w:val="en-GB"/>
              </w:rPr>
              <w:t xml:space="preserve">available </w:t>
            </w:r>
            <w:r w:rsidRPr="002B6C26" w:rsidR="002B6C26">
              <w:rPr>
                <w:color w:val="000000"/>
                <w:sz w:val="22"/>
                <w:szCs w:val="22"/>
              </w:rPr>
              <w:t>variables</w:t>
            </w:r>
            <w:r w:rsidR="007F0234">
              <w:rPr>
                <w:color w:val="000000"/>
                <w:sz w:val="22"/>
                <w:szCs w:val="22"/>
              </w:rPr>
              <w:t xml:space="preserve"> in dataset</w:t>
            </w:r>
            <w:r w:rsidR="00B91DDE">
              <w:rPr>
                <w:color w:val="000000"/>
                <w:sz w:val="22"/>
                <w:szCs w:val="22"/>
              </w:rPr>
              <w:t xml:space="preserve"> </w:t>
            </w:r>
            <w:r w:rsidR="006250BA">
              <w:rPr>
                <w:color w:val="000000"/>
                <w:sz w:val="22"/>
                <w:szCs w:val="22"/>
              </w:rPr>
              <w:t>(</w:t>
            </w:r>
            <w:r w:rsidRPr="002B6C26" w:rsidR="002B6C26">
              <w:rPr>
                <w:color w:val="000000"/>
                <w:sz w:val="22"/>
                <w:szCs w:val="22"/>
              </w:rPr>
              <w:t xml:space="preserve">age, ethnicity </w:t>
            </w:r>
            <w:r w:rsidR="006250BA">
              <w:rPr>
                <w:color w:val="000000"/>
                <w:sz w:val="22"/>
                <w:szCs w:val="22"/>
              </w:rPr>
              <w:t>[</w:t>
            </w:r>
            <w:r w:rsidRPr="002B6C26" w:rsidR="002B6C26">
              <w:rPr>
                <w:color w:val="000000"/>
                <w:sz w:val="22"/>
                <w:szCs w:val="22"/>
              </w:rPr>
              <w:t>Indigenous/non-Indigenous</w:t>
            </w:r>
            <w:r w:rsidR="00D90C55">
              <w:rPr>
                <w:color w:val="000000"/>
                <w:sz w:val="22"/>
                <w:szCs w:val="22"/>
              </w:rPr>
              <w:t>; coded non-indigenous if missing</w:t>
            </w:r>
            <w:r w:rsidR="006250BA">
              <w:rPr>
                <w:color w:val="000000"/>
                <w:sz w:val="22"/>
                <w:szCs w:val="22"/>
              </w:rPr>
              <w:t>]</w:t>
            </w:r>
            <w:r w:rsidRPr="002B6C26" w:rsidR="002B6C26">
              <w:rPr>
                <w:color w:val="000000"/>
                <w:sz w:val="22"/>
                <w:szCs w:val="22"/>
              </w:rPr>
              <w:t xml:space="preserve">, </w:t>
            </w:r>
            <w:r w:rsidR="00B35C51">
              <w:rPr>
                <w:color w:val="000000"/>
                <w:sz w:val="22"/>
                <w:szCs w:val="22"/>
              </w:rPr>
              <w:t>cigarettes/day</w:t>
            </w:r>
            <w:r w:rsidRPr="002B6C26" w:rsidR="002B6C26">
              <w:rPr>
                <w:color w:val="000000"/>
                <w:sz w:val="22"/>
                <w:szCs w:val="22"/>
              </w:rPr>
              <w:t>, smoking duration</w:t>
            </w:r>
            <w:r w:rsidR="006250BA">
              <w:rPr>
                <w:color w:val="000000"/>
                <w:sz w:val="22"/>
                <w:szCs w:val="22"/>
              </w:rPr>
              <w:t>)</w:t>
            </w:r>
            <w:r w:rsidRPr="002B6C26" w:rsidR="002B6C26">
              <w:rPr>
                <w:color w:val="000000"/>
                <w:sz w:val="22"/>
                <w:szCs w:val="22"/>
              </w:rPr>
              <w:t xml:space="preserve">. </w:t>
            </w:r>
            <w:r w:rsidR="001E51C4">
              <w:rPr>
                <w:color w:val="000000"/>
                <w:sz w:val="22"/>
                <w:szCs w:val="22"/>
              </w:rPr>
              <w:t>The following</w:t>
            </w:r>
            <w:r w:rsidRPr="002B6C26" w:rsidR="002B6C26">
              <w:rPr>
                <w:color w:val="000000"/>
                <w:sz w:val="22"/>
                <w:szCs w:val="22"/>
              </w:rPr>
              <w:t xml:space="preserve"> variables </w:t>
            </w:r>
            <w:r w:rsidR="001E51C4">
              <w:rPr>
                <w:color w:val="000000"/>
                <w:sz w:val="22"/>
                <w:szCs w:val="22"/>
              </w:rPr>
              <w:t xml:space="preserve">were not collected and </w:t>
            </w:r>
            <w:r w:rsidR="00B35C51">
              <w:rPr>
                <w:color w:val="000000"/>
                <w:sz w:val="22"/>
                <w:szCs w:val="22"/>
              </w:rPr>
              <w:t xml:space="preserve">were </w:t>
            </w:r>
            <w:r w:rsidRPr="002B6C26" w:rsidR="002B6C26">
              <w:rPr>
                <w:color w:val="000000"/>
                <w:sz w:val="22"/>
                <w:szCs w:val="22"/>
              </w:rPr>
              <w:t xml:space="preserve">imputed as negative/base-risk to achieve a conservative (lower) </w:t>
            </w:r>
            <w:r w:rsidRPr="002B6C26" w:rsidR="00B91DDE">
              <w:rPr>
                <w:color w:val="000000"/>
                <w:sz w:val="22"/>
                <w:szCs w:val="22"/>
              </w:rPr>
              <w:t>PLCOm2012</w:t>
            </w:r>
            <w:r w:rsidR="00B91DDE">
              <w:rPr>
                <w:color w:val="000000"/>
                <w:sz w:val="22"/>
                <w:szCs w:val="22"/>
              </w:rPr>
              <w:t xml:space="preserve"> </w:t>
            </w:r>
            <w:r w:rsidRPr="002B6C26" w:rsidR="002B6C26">
              <w:rPr>
                <w:color w:val="000000"/>
                <w:sz w:val="22"/>
                <w:szCs w:val="22"/>
              </w:rPr>
              <w:t>risk estimate</w:t>
            </w:r>
            <w:r w:rsidR="006250BA">
              <w:rPr>
                <w:color w:val="000000"/>
                <w:sz w:val="22"/>
                <w:szCs w:val="22"/>
              </w:rPr>
              <w:t xml:space="preserve"> (</w:t>
            </w:r>
            <w:r w:rsidRPr="002B6C26" w:rsidR="002B6C26">
              <w:rPr>
                <w:color w:val="000000"/>
                <w:sz w:val="22"/>
                <w:szCs w:val="22"/>
              </w:rPr>
              <w:t>education level, BMI, COPD diagnosis, personal or family cancer history</w:t>
            </w:r>
            <w:r w:rsidR="006250BA">
              <w:rPr>
                <w:color w:val="000000"/>
                <w:sz w:val="22"/>
                <w:szCs w:val="22"/>
              </w:rPr>
              <w:t>)</w:t>
            </w:r>
            <w:r w:rsidRPr="002B6C26" w:rsidR="002B6C26">
              <w:rPr>
                <w:color w:val="000000"/>
                <w:sz w:val="22"/>
                <w:szCs w:val="22"/>
              </w:rPr>
              <w:t>.</w:t>
            </w:r>
            <w:r w:rsidR="00671764">
              <w:rPr>
                <w:color w:val="000000"/>
                <w:sz w:val="22"/>
                <w:szCs w:val="22"/>
              </w:rPr>
              <w:t xml:space="preserve"> </w:t>
            </w:r>
            <w:r w:rsidR="006250BA">
              <w:rPr>
                <w:color w:val="000000"/>
                <w:sz w:val="22"/>
                <w:szCs w:val="22"/>
              </w:rPr>
              <w:t>We used p</w:t>
            </w:r>
            <w:r w:rsidR="00671764">
              <w:rPr>
                <w:color w:val="000000"/>
                <w:sz w:val="22"/>
                <w:szCs w:val="22"/>
              </w:rPr>
              <w:t xml:space="preserve">ost-code </w:t>
            </w:r>
            <w:r w:rsidRPr="00C6171C" w:rsidR="00C6171C">
              <w:rPr>
                <w:color w:val="000000"/>
                <w:sz w:val="22"/>
                <w:szCs w:val="22"/>
                <w:lang w:val="en-GB"/>
              </w:rPr>
              <w:t>to estimate remoteness and socioeconomic index</w:t>
            </w:r>
            <w:r w:rsidR="00926D54">
              <w:rPr>
                <w:color w:val="000000"/>
                <w:sz w:val="22"/>
                <w:szCs w:val="22"/>
                <w:lang w:val="en-GB"/>
              </w:rPr>
              <w:t xml:space="preserve"> (SEIFA)</w:t>
            </w:r>
            <w:r w:rsidR="00C6171C">
              <w:rPr>
                <w:color w:val="000000"/>
                <w:sz w:val="22"/>
                <w:szCs w:val="22"/>
                <w:lang w:val="en-GB"/>
              </w:rPr>
              <w:t>.</w:t>
            </w:r>
            <w:r w:rsidR="00EC50F2">
              <w:rPr>
                <w:color w:val="000000"/>
                <w:sz w:val="22"/>
                <w:szCs w:val="22"/>
                <w:lang w:val="en-GB"/>
              </w:rPr>
              <w:t xml:space="preserve"> </w:t>
            </w:r>
          </w:p>
          <w:p w:rsidRPr="0078568C" w:rsidR="00415995" w:rsidP="0078568C" w:rsidRDefault="001564A4" w14:paraId="6188A629" w14:textId="58E87979">
            <w:pPr>
              <w:pStyle w:val="Pa12"/>
              <w:rPr>
                <w:rStyle w:val="A4"/>
                <w:color w:val="auto"/>
              </w:rPr>
            </w:pPr>
            <w:r w:rsidRPr="00B36B82">
              <w:rPr>
                <w:rStyle w:val="A4"/>
                <w:b/>
                <w:bCs/>
              </w:rPr>
              <w:t xml:space="preserve">Results: </w:t>
            </w:r>
            <w:r w:rsidR="00D52149">
              <w:rPr>
                <w:rStyle w:val="A4"/>
                <w:color w:val="auto"/>
              </w:rPr>
              <w:t>8519</w:t>
            </w:r>
            <w:r w:rsidR="00DA0B45">
              <w:rPr>
                <w:rStyle w:val="A4"/>
                <w:color w:val="auto"/>
              </w:rPr>
              <w:t xml:space="preserve"> </w:t>
            </w:r>
            <w:r w:rsidR="00404CC7">
              <w:rPr>
                <w:rStyle w:val="A4"/>
                <w:color w:val="auto"/>
              </w:rPr>
              <w:t xml:space="preserve">adult </w:t>
            </w:r>
            <w:r w:rsidR="00DA0B45">
              <w:rPr>
                <w:rStyle w:val="A4"/>
                <w:color w:val="auto"/>
              </w:rPr>
              <w:t xml:space="preserve">clients </w:t>
            </w:r>
            <w:r w:rsidR="00E7513D">
              <w:rPr>
                <w:rStyle w:val="A4"/>
                <w:color w:val="auto"/>
              </w:rPr>
              <w:t>had their first Quitline contact</w:t>
            </w:r>
            <w:r w:rsidR="004C125C">
              <w:rPr>
                <w:rStyle w:val="A4"/>
                <w:color w:val="auto"/>
              </w:rPr>
              <w:t xml:space="preserve"> in FY2021/22</w:t>
            </w:r>
            <w:r w:rsidR="00686655">
              <w:rPr>
                <w:rStyle w:val="A4"/>
                <w:color w:val="auto"/>
              </w:rPr>
              <w:t>. 6</w:t>
            </w:r>
            <w:r w:rsidR="00B43C9A">
              <w:rPr>
                <w:rStyle w:val="A4"/>
                <w:color w:val="auto"/>
              </w:rPr>
              <w:t xml:space="preserve">737 </w:t>
            </w:r>
            <w:r w:rsidR="004C125C">
              <w:rPr>
                <w:rStyle w:val="A4"/>
                <w:color w:val="auto"/>
              </w:rPr>
              <w:t>had data</w:t>
            </w:r>
            <w:r w:rsidR="00B43C9A">
              <w:rPr>
                <w:rStyle w:val="A4"/>
                <w:color w:val="auto"/>
              </w:rPr>
              <w:t xml:space="preserve"> available for </w:t>
            </w:r>
            <w:r w:rsidR="00030988">
              <w:rPr>
                <w:rStyle w:val="A4"/>
                <w:color w:val="auto"/>
              </w:rPr>
              <w:t>complete case analysis</w:t>
            </w:r>
            <w:r w:rsidR="00D54461">
              <w:rPr>
                <w:rStyle w:val="A4"/>
                <w:color w:val="auto"/>
              </w:rPr>
              <w:t xml:space="preserve"> (</w:t>
            </w:r>
            <w:r w:rsidR="00D232D2">
              <w:rPr>
                <w:rStyle w:val="A4"/>
                <w:color w:val="auto"/>
              </w:rPr>
              <w:t>n=705 Indigenous</w:t>
            </w:r>
            <w:r w:rsidR="00C6091A">
              <w:rPr>
                <w:rStyle w:val="A4"/>
                <w:color w:val="auto"/>
              </w:rPr>
              <w:t xml:space="preserve"> [</w:t>
            </w:r>
            <w:r w:rsidR="00D232D2">
              <w:rPr>
                <w:rStyle w:val="A4"/>
                <w:color w:val="auto"/>
              </w:rPr>
              <w:t>10.5%</w:t>
            </w:r>
            <w:r w:rsidR="00C6091A">
              <w:rPr>
                <w:rStyle w:val="A4"/>
                <w:color w:val="auto"/>
              </w:rPr>
              <w:t>]</w:t>
            </w:r>
            <w:r w:rsidR="003166DF">
              <w:rPr>
                <w:rStyle w:val="A4"/>
                <w:color w:val="auto"/>
              </w:rPr>
              <w:t>)</w:t>
            </w:r>
            <w:r w:rsidR="00D76E4F">
              <w:rPr>
                <w:rStyle w:val="A4"/>
                <w:color w:val="auto"/>
              </w:rPr>
              <w:t xml:space="preserve">. </w:t>
            </w:r>
            <w:r w:rsidR="006003AB">
              <w:rPr>
                <w:rStyle w:val="A4"/>
                <w:color w:val="auto"/>
              </w:rPr>
              <w:t>2546</w:t>
            </w:r>
            <w:r w:rsidR="005B1919">
              <w:rPr>
                <w:rStyle w:val="A4"/>
                <w:color w:val="auto"/>
              </w:rPr>
              <w:t xml:space="preserve"> </w:t>
            </w:r>
            <w:r w:rsidR="00D76E4F">
              <w:rPr>
                <w:rStyle w:val="A4"/>
                <w:color w:val="auto"/>
              </w:rPr>
              <w:t>(</w:t>
            </w:r>
            <w:r w:rsidR="005B1919">
              <w:rPr>
                <w:rStyle w:val="A4"/>
                <w:color w:val="auto"/>
              </w:rPr>
              <w:t>37.8%</w:t>
            </w:r>
            <w:r w:rsidR="00D76E4F">
              <w:rPr>
                <w:rStyle w:val="A4"/>
                <w:color w:val="auto"/>
              </w:rPr>
              <w:t>)</w:t>
            </w:r>
            <w:r w:rsidR="005B1919">
              <w:rPr>
                <w:rStyle w:val="A4"/>
                <w:color w:val="auto"/>
              </w:rPr>
              <w:t xml:space="preserve"> were</w:t>
            </w:r>
            <w:r w:rsidR="00400E4B">
              <w:rPr>
                <w:rStyle w:val="A4"/>
                <w:color w:val="auto"/>
              </w:rPr>
              <w:t xml:space="preserve"> aged 50-80 years.</w:t>
            </w:r>
            <w:r w:rsidR="0002407A">
              <w:rPr>
                <w:rStyle w:val="A4"/>
                <w:color w:val="auto"/>
              </w:rPr>
              <w:t xml:space="preserve"> </w:t>
            </w:r>
            <w:r w:rsidR="00D90C55">
              <w:rPr>
                <w:rStyle w:val="A4"/>
                <w:color w:val="auto"/>
              </w:rPr>
              <w:t xml:space="preserve">Stratified by ethnicity, </w:t>
            </w:r>
            <w:r w:rsidR="00D86522">
              <w:rPr>
                <w:rStyle w:val="A4"/>
                <w:color w:val="auto"/>
              </w:rPr>
              <w:t>18</w:t>
            </w:r>
            <w:r w:rsidR="00960631">
              <w:rPr>
                <w:rStyle w:val="A4"/>
                <w:color w:val="auto"/>
              </w:rPr>
              <w:t xml:space="preserve">-33% of </w:t>
            </w:r>
            <w:r w:rsidR="00D86522">
              <w:rPr>
                <w:rStyle w:val="A4"/>
                <w:color w:val="auto"/>
              </w:rPr>
              <w:t>clients</w:t>
            </w:r>
            <w:r w:rsidR="00960631">
              <w:rPr>
                <w:rStyle w:val="A4"/>
                <w:color w:val="auto"/>
              </w:rPr>
              <w:t xml:space="preserve"> </w:t>
            </w:r>
            <w:r w:rsidR="00AE3D1D">
              <w:rPr>
                <w:rStyle w:val="A4"/>
                <w:color w:val="auto"/>
              </w:rPr>
              <w:t>would be eligible for LCS</w:t>
            </w:r>
            <w:r w:rsidR="0078568C">
              <w:rPr>
                <w:rStyle w:val="A4"/>
                <w:color w:val="auto"/>
              </w:rPr>
              <w:t xml:space="preserve"> (Table)</w:t>
            </w:r>
            <w:r w:rsidR="00AE3D1D">
              <w:rPr>
                <w:rStyle w:val="A4"/>
                <w:color w:val="auto"/>
              </w:rPr>
              <w:t>.</w:t>
            </w:r>
            <w:r w:rsidR="0078568C">
              <w:rPr>
                <w:rStyle w:val="A4"/>
                <w:color w:val="auto"/>
              </w:rPr>
              <w:t xml:space="preserve"> </w:t>
            </w:r>
            <w:r w:rsidR="009F5A63">
              <w:rPr>
                <w:rStyle w:val="A4"/>
                <w:color w:val="auto"/>
              </w:rPr>
              <w:t xml:space="preserve">Of the MSAC eligible </w:t>
            </w:r>
            <w:r w:rsidRPr="0078568C" w:rsidR="009F5A63">
              <w:rPr>
                <w:rStyle w:val="A4"/>
                <w:color w:val="auto"/>
              </w:rPr>
              <w:t>clients</w:t>
            </w:r>
            <w:r w:rsidR="009F5A63">
              <w:rPr>
                <w:rStyle w:val="A4"/>
                <w:color w:val="auto"/>
              </w:rPr>
              <w:t>,</w:t>
            </w:r>
            <w:r w:rsidRPr="0078568C" w:rsidR="009F5A63">
              <w:rPr>
                <w:rStyle w:val="A4"/>
                <w:color w:val="auto"/>
              </w:rPr>
              <w:t xml:space="preserve"> </w:t>
            </w:r>
            <w:r w:rsidR="00F07F1E">
              <w:rPr>
                <w:rStyle w:val="A4"/>
                <w:color w:val="auto"/>
              </w:rPr>
              <w:t>64</w:t>
            </w:r>
            <w:r w:rsidRPr="0078568C" w:rsidR="00415995">
              <w:rPr>
                <w:rStyle w:val="A4"/>
                <w:color w:val="auto"/>
              </w:rPr>
              <w:t xml:space="preserve">% had </w:t>
            </w:r>
            <w:r w:rsidRPr="00C6171C" w:rsidR="00DC6BBE">
              <w:rPr>
                <w:color w:val="000000"/>
                <w:sz w:val="22"/>
                <w:szCs w:val="22"/>
                <w:lang w:val="en-GB"/>
              </w:rPr>
              <w:t>socioeconomic</w:t>
            </w:r>
            <w:r w:rsidRPr="0078568C" w:rsidR="00DC6BBE">
              <w:rPr>
                <w:rStyle w:val="A4"/>
                <w:color w:val="auto"/>
              </w:rPr>
              <w:t xml:space="preserve"> </w:t>
            </w:r>
            <w:r w:rsidR="00DC6BBE">
              <w:rPr>
                <w:rStyle w:val="A4"/>
                <w:color w:val="auto"/>
              </w:rPr>
              <w:t>adv</w:t>
            </w:r>
            <w:r w:rsidR="002033A6">
              <w:rPr>
                <w:rStyle w:val="A4"/>
                <w:color w:val="auto"/>
              </w:rPr>
              <w:t>antage (</w:t>
            </w:r>
            <w:r w:rsidRPr="0078568C" w:rsidR="00415995">
              <w:rPr>
                <w:rStyle w:val="A4"/>
                <w:color w:val="auto"/>
              </w:rPr>
              <w:t>SEIFA</w:t>
            </w:r>
            <w:r w:rsidR="002033A6">
              <w:rPr>
                <w:rStyle w:val="A4"/>
                <w:color w:val="auto"/>
              </w:rPr>
              <w:t>)</w:t>
            </w:r>
            <w:r w:rsidRPr="0078568C" w:rsidR="00415995">
              <w:rPr>
                <w:rStyle w:val="A4"/>
                <w:color w:val="auto"/>
              </w:rPr>
              <w:t xml:space="preserve"> below national median</w:t>
            </w:r>
            <w:r w:rsidR="009F5A63">
              <w:rPr>
                <w:rStyle w:val="A4"/>
                <w:color w:val="auto"/>
              </w:rPr>
              <w:t xml:space="preserve"> and </w:t>
            </w:r>
            <w:r w:rsidR="00506652">
              <w:rPr>
                <w:rStyle w:val="A4"/>
                <w:color w:val="auto"/>
              </w:rPr>
              <w:t>14% lived in remote</w:t>
            </w:r>
            <w:r w:rsidR="002033A6">
              <w:rPr>
                <w:rStyle w:val="A4"/>
                <w:color w:val="auto"/>
              </w:rPr>
              <w:t>/</w:t>
            </w:r>
            <w:r w:rsidR="00506652">
              <w:rPr>
                <w:rStyle w:val="A4"/>
                <w:color w:val="auto"/>
              </w:rPr>
              <w:t>very remote postcode areas.</w:t>
            </w:r>
          </w:p>
          <w:p w:rsidR="00907FDB" w:rsidP="00415995" w:rsidRDefault="00907FDB" w14:paraId="1E80DD1C" w14:textId="77777777">
            <w:pPr>
              <w:pStyle w:val="Default"/>
            </w:pPr>
          </w:p>
          <w:tbl>
            <w:tblPr>
              <w:tblStyle w:val="Table"/>
              <w:tblW w:w="4842" w:type="pct"/>
              <w:jc w:val="center"/>
              <w:tblLayout w:type="fixed"/>
              <w:tblCellMar>
                <w:left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862"/>
              <w:gridCol w:w="2409"/>
              <w:gridCol w:w="1903"/>
              <w:gridCol w:w="1984"/>
            </w:tblGrid>
            <w:tr w:rsidR="00390FA7" w:rsidTr="00EA1BA5" w14:paraId="1AAB8BAF" w14:textId="1F3D5D50">
              <w:trPr>
                <w:cantSplit/>
                <w:tblHeader/>
                <w:jc w:val="center"/>
              </w:trPr>
              <w:tc>
                <w:tcPr>
                  <w:tcW w:w="1861" w:type="dxa"/>
                  <w:tcBorders>
                    <w:top w:val="single" w:color="D3D3D3" w:sz="16" w:space="0"/>
                    <w:left w:val="single" w:color="D3D3D3" w:sz="0" w:space="0"/>
                    <w:bottom w:val="single" w:color="D3D3D3" w:sz="16" w:space="0"/>
                  </w:tcBorders>
                </w:tcPr>
                <w:p w:rsidR="00390FA7" w:rsidP="00907FDB" w:rsidRDefault="00390FA7" w14:paraId="1560EE12" w14:textId="5EEABE88">
                  <w:pPr>
                    <w:keepNext/>
                    <w:spacing w:after="60"/>
                  </w:pPr>
                  <w:r>
                    <w:rPr>
                      <w:rFonts w:ascii="Calibri" w:hAnsi="Calibri"/>
                      <w:b/>
                      <w:sz w:val="20"/>
                    </w:rPr>
                    <w:t>LCS eligibility model</w:t>
                  </w:r>
                </w:p>
              </w:tc>
              <w:tc>
                <w:tcPr>
                  <w:tcW w:w="2409" w:type="dxa"/>
                  <w:tcBorders>
                    <w:top w:val="single" w:color="D3D3D3" w:sz="16" w:space="0"/>
                    <w:bottom w:val="single" w:color="D3D3D3" w:sz="16" w:space="0"/>
                  </w:tcBorders>
                </w:tcPr>
                <w:p w:rsidR="00390FA7" w:rsidP="00907FDB" w:rsidRDefault="00BA797F" w14:paraId="4299D2A6" w14:textId="1CBDCBBF">
                  <w:pPr>
                    <w:keepNext/>
                    <w:spacing w:after="60"/>
                    <w:jc w:val="center"/>
                  </w:pPr>
                  <w:r>
                    <w:rPr>
                      <w:rFonts w:ascii="Calibri" w:hAnsi="Calibri"/>
                      <w:b/>
                      <w:sz w:val="20"/>
                    </w:rPr>
                    <w:t xml:space="preserve">Eligible </w:t>
                  </w:r>
                  <w:r w:rsidR="00390FA7">
                    <w:rPr>
                      <w:rFonts w:ascii="Calibri" w:hAnsi="Calibri"/>
                      <w:b/>
                      <w:sz w:val="20"/>
                    </w:rPr>
                    <w:t>Non-indigenous</w:t>
                  </w:r>
                  <w:r w:rsidR="00F70371">
                    <w:rPr>
                      <w:rFonts w:ascii="Calibri" w:hAnsi="Calibri"/>
                      <w:b/>
                      <w:sz w:val="20"/>
                    </w:rPr>
                    <w:t xml:space="preserve"> </w:t>
                  </w:r>
                </w:p>
              </w:tc>
              <w:tc>
                <w:tcPr>
                  <w:tcW w:w="1903" w:type="dxa"/>
                  <w:tcBorders>
                    <w:top w:val="single" w:color="D3D3D3" w:sz="16" w:space="0"/>
                    <w:bottom w:val="single" w:color="D3D3D3" w:sz="16" w:space="0"/>
                    <w:right w:val="single" w:color="D3D3D3" w:sz="0" w:space="0"/>
                  </w:tcBorders>
                </w:tcPr>
                <w:p w:rsidR="00390FA7" w:rsidP="00907FDB" w:rsidRDefault="00BA797F" w14:paraId="2233074B" w14:textId="78E412E3">
                  <w:pPr>
                    <w:keepNext/>
                    <w:spacing w:after="60"/>
                    <w:jc w:val="center"/>
                  </w:pPr>
                  <w:r>
                    <w:rPr>
                      <w:rFonts w:ascii="Calibri" w:hAnsi="Calibri"/>
                      <w:b/>
                      <w:sz w:val="20"/>
                    </w:rPr>
                    <w:t xml:space="preserve">Eligible </w:t>
                  </w:r>
                  <w:r w:rsidR="00390FA7">
                    <w:rPr>
                      <w:rFonts w:ascii="Calibri" w:hAnsi="Calibri"/>
                      <w:b/>
                      <w:sz w:val="20"/>
                    </w:rPr>
                    <w:t>Indigenous</w:t>
                  </w:r>
                  <w:r w:rsidR="00DA7535">
                    <w:rPr>
                      <w:rFonts w:ascii="Calibri" w:hAnsi="Calibri"/>
                      <w:b/>
                      <w:sz w:val="20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color="D3D3D3" w:sz="16" w:space="0"/>
                    <w:bottom w:val="single" w:color="D3D3D3" w:sz="16" w:space="0"/>
                    <w:right w:val="single" w:color="D3D3D3" w:sz="0" w:space="0"/>
                  </w:tcBorders>
                </w:tcPr>
                <w:p w:rsidR="00390FA7" w:rsidP="00907FDB" w:rsidRDefault="00390FA7" w14:paraId="103198DD" w14:textId="3247A8D3">
                  <w:pPr>
                    <w:keepNext/>
                    <w:spacing w:after="60"/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 xml:space="preserve">Total </w:t>
                  </w:r>
                  <w:r w:rsidR="00B47D38">
                    <w:rPr>
                      <w:rFonts w:ascii="Calibri" w:hAnsi="Calibri"/>
                      <w:b/>
                      <w:sz w:val="20"/>
                    </w:rPr>
                    <w:t>eligible</w:t>
                  </w:r>
                  <w:r w:rsidR="003B0245">
                    <w:rPr>
                      <w:rFonts w:ascii="Calibri" w:hAnsi="Calibri"/>
                      <w:b/>
                      <w:sz w:val="20"/>
                    </w:rPr>
                    <w:t xml:space="preserve"> </w:t>
                  </w:r>
                </w:p>
              </w:tc>
            </w:tr>
            <w:tr w:rsidR="00390FA7" w:rsidTr="00EA1BA5" w14:paraId="148EF155" w14:textId="5571600D">
              <w:trPr>
                <w:cantSplit/>
                <w:jc w:val="center"/>
              </w:trPr>
              <w:tc>
                <w:tcPr>
                  <w:tcW w:w="1861" w:type="dxa"/>
                  <w:tcBorders>
                    <w:top w:val="single" w:color="D3D3D3" w:sz="0" w:space="0"/>
                    <w:left w:val="single" w:color="D3D3D3" w:sz="0" w:space="0"/>
                    <w:bottom w:val="single" w:color="D3D3D3" w:sz="0" w:space="0"/>
                    <w:right w:val="single" w:color="D3D3D3" w:sz="0" w:space="0"/>
                  </w:tcBorders>
                </w:tcPr>
                <w:p w:rsidR="00390FA7" w:rsidP="00907FDB" w:rsidRDefault="00390FA7" w14:paraId="421A7E55" w14:textId="0877D987">
                  <w:pPr>
                    <w:keepNext/>
                    <w:spacing w:after="60"/>
                  </w:pPr>
                  <w:r>
                    <w:rPr>
                      <w:rFonts w:ascii="Calibri" w:hAnsi="Calibri"/>
                      <w:sz w:val="20"/>
                    </w:rPr>
                    <w:t>MSAC</w:t>
                  </w:r>
                </w:p>
              </w:tc>
              <w:tc>
                <w:tcPr>
                  <w:tcW w:w="2409" w:type="dxa"/>
                  <w:tcBorders>
                    <w:top w:val="single" w:color="D3D3D3" w:sz="0" w:space="0"/>
                    <w:left w:val="single" w:color="D3D3D3" w:sz="0" w:space="0"/>
                    <w:bottom w:val="single" w:color="D3D3D3" w:sz="0" w:space="0"/>
                    <w:right w:val="single" w:color="D3D3D3" w:sz="0" w:space="0"/>
                  </w:tcBorders>
                </w:tcPr>
                <w:p w:rsidR="00390FA7" w:rsidP="00907FDB" w:rsidRDefault="00390FA7" w14:paraId="0D6D60D8" w14:textId="77777777">
                  <w:pPr>
                    <w:keepNext/>
                    <w:spacing w:after="60"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>1,444 (24%)</w:t>
                  </w:r>
                </w:p>
              </w:tc>
              <w:tc>
                <w:tcPr>
                  <w:tcW w:w="1903" w:type="dxa"/>
                  <w:tcBorders>
                    <w:top w:val="single" w:color="D3D3D3" w:sz="0" w:space="0"/>
                    <w:left w:val="single" w:color="D3D3D3" w:sz="0" w:space="0"/>
                    <w:bottom w:val="single" w:color="D3D3D3" w:sz="0" w:space="0"/>
                    <w:right w:val="single" w:color="D3D3D3" w:sz="0" w:space="0"/>
                  </w:tcBorders>
                </w:tcPr>
                <w:p w:rsidR="00390FA7" w:rsidP="00907FDB" w:rsidRDefault="00390FA7" w14:paraId="3828E967" w14:textId="77777777">
                  <w:pPr>
                    <w:keepNext/>
                    <w:spacing w:after="60"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>129 (18%)</w:t>
                  </w:r>
                </w:p>
              </w:tc>
              <w:tc>
                <w:tcPr>
                  <w:tcW w:w="1984" w:type="dxa"/>
                  <w:tcBorders>
                    <w:top w:val="single" w:color="D3D3D3" w:sz="0" w:space="0"/>
                    <w:left w:val="single" w:color="D3D3D3" w:sz="0" w:space="0"/>
                    <w:bottom w:val="single" w:color="D3D3D3" w:sz="0" w:space="0"/>
                    <w:right w:val="single" w:color="D3D3D3" w:sz="0" w:space="0"/>
                  </w:tcBorders>
                </w:tcPr>
                <w:p w:rsidR="00390FA7" w:rsidP="00907FDB" w:rsidRDefault="00B14EE3" w14:paraId="797EB69A" w14:textId="45C73988">
                  <w:pPr>
                    <w:keepNext/>
                    <w:spacing w:after="60"/>
                    <w:jc w:val="center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1,573 (23%)</w:t>
                  </w:r>
                </w:p>
              </w:tc>
            </w:tr>
            <w:tr w:rsidR="00390FA7" w:rsidTr="00EA1BA5" w14:paraId="13E3DEB6" w14:textId="1F8CF1E4">
              <w:trPr>
                <w:cantSplit/>
                <w:jc w:val="center"/>
              </w:trPr>
              <w:tc>
                <w:tcPr>
                  <w:tcW w:w="1861" w:type="dxa"/>
                  <w:tcBorders>
                    <w:top w:val="single" w:color="D3D3D3" w:sz="0" w:space="0"/>
                    <w:left w:val="single" w:color="D3D3D3" w:sz="0" w:space="0"/>
                    <w:bottom w:val="single" w:color="D3D3D3" w:sz="0" w:space="0"/>
                    <w:right w:val="single" w:color="D3D3D3" w:sz="0" w:space="0"/>
                  </w:tcBorders>
                </w:tcPr>
                <w:p w:rsidR="00390FA7" w:rsidP="00907FDB" w:rsidRDefault="00390FA7" w14:paraId="4ACD0659" w14:textId="606C25FD">
                  <w:pPr>
                    <w:keepNext/>
                    <w:spacing w:after="60"/>
                  </w:pPr>
                  <w:r>
                    <w:rPr>
                      <w:rFonts w:ascii="Calibri" w:hAnsi="Calibri"/>
                      <w:sz w:val="20"/>
                    </w:rPr>
                    <w:t>USPSTF</w:t>
                  </w:r>
                  <w:r w:rsidRPr="00EA1BA5">
                    <w:rPr>
                      <w:rFonts w:ascii="Calibri" w:hAnsi="Calibri"/>
                      <w:sz w:val="20"/>
                      <w:vertAlign w:val="subscript"/>
                    </w:rPr>
                    <w:t>2021</w:t>
                  </w:r>
                </w:p>
              </w:tc>
              <w:tc>
                <w:tcPr>
                  <w:tcW w:w="2409" w:type="dxa"/>
                  <w:tcBorders>
                    <w:top w:val="single" w:color="D3D3D3" w:sz="0" w:space="0"/>
                    <w:left w:val="single" w:color="D3D3D3" w:sz="0" w:space="0"/>
                    <w:bottom w:val="single" w:color="D3D3D3" w:sz="0" w:space="0"/>
                    <w:right w:val="single" w:color="D3D3D3" w:sz="0" w:space="0"/>
                  </w:tcBorders>
                </w:tcPr>
                <w:p w:rsidR="00390FA7" w:rsidP="00907FDB" w:rsidRDefault="00390FA7" w14:paraId="36794E36" w14:textId="77777777">
                  <w:pPr>
                    <w:keepNext/>
                    <w:spacing w:after="60"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>1,980 (33%)</w:t>
                  </w:r>
                </w:p>
              </w:tc>
              <w:tc>
                <w:tcPr>
                  <w:tcW w:w="1903" w:type="dxa"/>
                  <w:tcBorders>
                    <w:top w:val="single" w:color="D3D3D3" w:sz="0" w:space="0"/>
                    <w:left w:val="single" w:color="D3D3D3" w:sz="0" w:space="0"/>
                    <w:bottom w:val="single" w:color="D3D3D3" w:sz="0" w:space="0"/>
                    <w:right w:val="single" w:color="D3D3D3" w:sz="0" w:space="0"/>
                  </w:tcBorders>
                </w:tcPr>
                <w:p w:rsidR="00390FA7" w:rsidP="00907FDB" w:rsidRDefault="00390FA7" w14:paraId="66BA4B33" w14:textId="77777777">
                  <w:pPr>
                    <w:keepNext/>
                    <w:spacing w:after="60"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>168 (24%)</w:t>
                  </w:r>
                </w:p>
              </w:tc>
              <w:tc>
                <w:tcPr>
                  <w:tcW w:w="1984" w:type="dxa"/>
                  <w:tcBorders>
                    <w:top w:val="single" w:color="D3D3D3" w:sz="0" w:space="0"/>
                    <w:left w:val="single" w:color="D3D3D3" w:sz="0" w:space="0"/>
                    <w:bottom w:val="single" w:color="D3D3D3" w:sz="0" w:space="0"/>
                    <w:right w:val="single" w:color="D3D3D3" w:sz="0" w:space="0"/>
                  </w:tcBorders>
                </w:tcPr>
                <w:p w:rsidR="00390FA7" w:rsidP="00907FDB" w:rsidRDefault="00B14EE3" w14:paraId="7D2873D8" w14:textId="535990DF">
                  <w:pPr>
                    <w:keepNext/>
                    <w:spacing w:after="60"/>
                    <w:jc w:val="center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2,148 (32%)</w:t>
                  </w:r>
                </w:p>
              </w:tc>
            </w:tr>
            <w:tr w:rsidR="00390FA7" w:rsidTr="00EA1BA5" w14:paraId="2EC919A5" w14:textId="6D11FB3D">
              <w:trPr>
                <w:cantSplit/>
                <w:jc w:val="center"/>
              </w:trPr>
              <w:tc>
                <w:tcPr>
                  <w:tcW w:w="1861" w:type="dxa"/>
                  <w:tcBorders>
                    <w:top w:val="single" w:color="D3D3D3" w:sz="0" w:space="0"/>
                    <w:left w:val="single" w:color="D3D3D3" w:sz="0" w:space="0"/>
                    <w:bottom w:val="single" w:color="D3D3D3" w:sz="0" w:space="0"/>
                    <w:right w:val="single" w:color="D3D3D3" w:sz="0" w:space="0"/>
                  </w:tcBorders>
                </w:tcPr>
                <w:p w:rsidR="00390FA7" w:rsidP="00907FDB" w:rsidRDefault="00390FA7" w14:paraId="27E3B746" w14:textId="02B2FF59">
                  <w:pPr>
                    <w:keepNext/>
                    <w:spacing w:after="60"/>
                  </w:pPr>
                  <w:r>
                    <w:rPr>
                      <w:rFonts w:ascii="Calibri" w:hAnsi="Calibri"/>
                      <w:sz w:val="20"/>
                    </w:rPr>
                    <w:t>PLCO</w:t>
                  </w:r>
                  <w:r w:rsidRPr="00EA1BA5" w:rsidR="00EA1BA5">
                    <w:rPr>
                      <w:rFonts w:ascii="Calibri" w:hAnsi="Calibri"/>
                      <w:sz w:val="20"/>
                      <w:vertAlign w:val="subscript"/>
                    </w:rPr>
                    <w:t>m2012</w:t>
                  </w:r>
                </w:p>
              </w:tc>
              <w:tc>
                <w:tcPr>
                  <w:tcW w:w="2409" w:type="dxa"/>
                  <w:tcBorders>
                    <w:top w:val="single" w:color="D3D3D3" w:sz="0" w:space="0"/>
                    <w:left w:val="single" w:color="D3D3D3" w:sz="0" w:space="0"/>
                    <w:bottom w:val="single" w:color="D3D3D3" w:sz="0" w:space="0"/>
                    <w:right w:val="single" w:color="D3D3D3" w:sz="0" w:space="0"/>
                  </w:tcBorders>
                </w:tcPr>
                <w:p w:rsidR="00390FA7" w:rsidP="00907FDB" w:rsidRDefault="00390FA7" w14:paraId="65FAB306" w14:textId="77777777">
                  <w:pPr>
                    <w:keepNext/>
                    <w:spacing w:after="60"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>1,305 (22%)</w:t>
                  </w:r>
                </w:p>
              </w:tc>
              <w:tc>
                <w:tcPr>
                  <w:tcW w:w="1903" w:type="dxa"/>
                  <w:tcBorders>
                    <w:top w:val="single" w:color="D3D3D3" w:sz="0" w:space="0"/>
                    <w:left w:val="single" w:color="D3D3D3" w:sz="0" w:space="0"/>
                    <w:bottom w:val="single" w:color="D3D3D3" w:sz="0" w:space="0"/>
                    <w:right w:val="single" w:color="D3D3D3" w:sz="0" w:space="0"/>
                  </w:tcBorders>
                </w:tcPr>
                <w:p w:rsidR="00390FA7" w:rsidP="00907FDB" w:rsidRDefault="00390FA7" w14:paraId="5DB2C8AA" w14:textId="77777777">
                  <w:pPr>
                    <w:keepNext/>
                    <w:spacing w:after="60"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>127 (18%)</w:t>
                  </w:r>
                </w:p>
              </w:tc>
              <w:tc>
                <w:tcPr>
                  <w:tcW w:w="1984" w:type="dxa"/>
                  <w:tcBorders>
                    <w:top w:val="single" w:color="D3D3D3" w:sz="0" w:space="0"/>
                    <w:left w:val="single" w:color="D3D3D3" w:sz="0" w:space="0"/>
                    <w:bottom w:val="single" w:color="D3D3D3" w:sz="0" w:space="0"/>
                    <w:right w:val="single" w:color="D3D3D3" w:sz="0" w:space="0"/>
                  </w:tcBorders>
                </w:tcPr>
                <w:p w:rsidR="00390FA7" w:rsidP="00907FDB" w:rsidRDefault="003B0245" w14:paraId="65E03371" w14:textId="668BC19C">
                  <w:pPr>
                    <w:keepNext/>
                    <w:spacing w:after="60"/>
                    <w:jc w:val="center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1,432 (21%)</w:t>
                  </w:r>
                </w:p>
              </w:tc>
            </w:tr>
            <w:tr w:rsidR="00A31749" w:rsidTr="00EA1BA5" w14:paraId="0E368EF8" w14:textId="77777777">
              <w:trPr>
                <w:cantSplit/>
                <w:jc w:val="center"/>
              </w:trPr>
              <w:tc>
                <w:tcPr>
                  <w:tcW w:w="1861" w:type="dxa"/>
                  <w:tcBorders>
                    <w:top w:val="single" w:color="D3D3D3" w:sz="0" w:space="0"/>
                    <w:left w:val="single" w:color="D3D3D3" w:sz="0" w:space="0"/>
                    <w:bottom w:val="single" w:color="D3D3D3" w:sz="0" w:space="0"/>
                    <w:right w:val="single" w:color="D3D3D3" w:sz="0" w:space="0"/>
                  </w:tcBorders>
                </w:tcPr>
                <w:p w:rsidR="00A31749" w:rsidP="00907FDB" w:rsidRDefault="00A31749" w14:paraId="435CB59C" w14:textId="36421E65">
                  <w:pPr>
                    <w:keepNext/>
                    <w:spacing w:after="60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 xml:space="preserve">Total </w:t>
                  </w:r>
                  <w:r w:rsidR="002B2B62">
                    <w:rPr>
                      <w:rFonts w:ascii="Calibri" w:hAnsi="Calibri"/>
                      <w:sz w:val="20"/>
                    </w:rPr>
                    <w:t>assessed clients</w:t>
                  </w:r>
                </w:p>
              </w:tc>
              <w:tc>
                <w:tcPr>
                  <w:tcW w:w="2409" w:type="dxa"/>
                  <w:tcBorders>
                    <w:top w:val="single" w:color="D3D3D3" w:sz="0" w:space="0"/>
                    <w:left w:val="single" w:color="D3D3D3" w:sz="0" w:space="0"/>
                    <w:bottom w:val="single" w:color="D3D3D3" w:sz="0" w:space="0"/>
                    <w:right w:val="single" w:color="D3D3D3" w:sz="0" w:space="0"/>
                  </w:tcBorders>
                </w:tcPr>
                <w:p w:rsidRPr="002B2B62" w:rsidR="00A31749" w:rsidP="00907FDB" w:rsidRDefault="002B2B62" w14:paraId="56AFF644" w14:textId="795F0234">
                  <w:pPr>
                    <w:keepNext/>
                    <w:spacing w:after="60"/>
                    <w:jc w:val="center"/>
                    <w:rPr>
                      <w:rFonts w:ascii="Calibri" w:hAnsi="Calibri"/>
                      <w:bCs/>
                      <w:sz w:val="20"/>
                    </w:rPr>
                  </w:pPr>
                  <w:r w:rsidRPr="002B2B62">
                    <w:rPr>
                      <w:rFonts w:ascii="Calibri" w:hAnsi="Calibri"/>
                      <w:bCs/>
                      <w:sz w:val="20"/>
                    </w:rPr>
                    <w:t>6032</w:t>
                  </w:r>
                </w:p>
              </w:tc>
              <w:tc>
                <w:tcPr>
                  <w:tcW w:w="1903" w:type="dxa"/>
                  <w:tcBorders>
                    <w:top w:val="single" w:color="D3D3D3" w:sz="0" w:space="0"/>
                    <w:left w:val="single" w:color="D3D3D3" w:sz="0" w:space="0"/>
                    <w:bottom w:val="single" w:color="D3D3D3" w:sz="0" w:space="0"/>
                    <w:right w:val="single" w:color="D3D3D3" w:sz="0" w:space="0"/>
                  </w:tcBorders>
                </w:tcPr>
                <w:p w:rsidRPr="002B2B62" w:rsidR="00A31749" w:rsidP="00907FDB" w:rsidRDefault="002B2B62" w14:paraId="37876B51" w14:textId="2AA712D6">
                  <w:pPr>
                    <w:keepNext/>
                    <w:spacing w:after="60"/>
                    <w:jc w:val="center"/>
                    <w:rPr>
                      <w:rFonts w:ascii="Calibri" w:hAnsi="Calibri"/>
                      <w:bCs/>
                      <w:sz w:val="20"/>
                    </w:rPr>
                  </w:pPr>
                  <w:r w:rsidRPr="002B2B62">
                    <w:rPr>
                      <w:rFonts w:ascii="Calibri" w:hAnsi="Calibri"/>
                      <w:bCs/>
                      <w:sz w:val="20"/>
                    </w:rPr>
                    <w:t>705</w:t>
                  </w:r>
                </w:p>
              </w:tc>
              <w:tc>
                <w:tcPr>
                  <w:tcW w:w="1984" w:type="dxa"/>
                  <w:tcBorders>
                    <w:top w:val="single" w:color="D3D3D3" w:sz="0" w:space="0"/>
                    <w:left w:val="single" w:color="D3D3D3" w:sz="0" w:space="0"/>
                    <w:bottom w:val="single" w:color="D3D3D3" w:sz="0" w:space="0"/>
                    <w:right w:val="single" w:color="D3D3D3" w:sz="0" w:space="0"/>
                  </w:tcBorders>
                </w:tcPr>
                <w:p w:rsidRPr="002B2B62" w:rsidR="00A31749" w:rsidP="00907FDB" w:rsidRDefault="002B2B62" w14:paraId="612CC962" w14:textId="5096DC2D">
                  <w:pPr>
                    <w:keepNext/>
                    <w:spacing w:after="60"/>
                    <w:jc w:val="center"/>
                    <w:rPr>
                      <w:rFonts w:ascii="Calibri" w:hAnsi="Calibri"/>
                      <w:bCs/>
                      <w:sz w:val="20"/>
                    </w:rPr>
                  </w:pPr>
                  <w:r w:rsidRPr="002B2B62">
                    <w:rPr>
                      <w:rFonts w:ascii="Calibri" w:hAnsi="Calibri"/>
                      <w:bCs/>
                      <w:sz w:val="20"/>
                    </w:rPr>
                    <w:t>6737</w:t>
                  </w:r>
                </w:p>
              </w:tc>
            </w:tr>
            <w:tr w:rsidR="00390FA7" w:rsidTr="00EA1BA5" w14:paraId="63D4EB28" w14:textId="179F77EE">
              <w:trPr>
                <w:cantSplit/>
                <w:jc w:val="center"/>
              </w:trPr>
              <w:tc>
                <w:tcPr>
                  <w:tcW w:w="6173" w:type="dxa"/>
                  <w:gridSpan w:val="3"/>
                </w:tcPr>
                <w:p w:rsidR="00390FA7" w:rsidP="00907FDB" w:rsidRDefault="00390FA7" w14:paraId="73E99A64" w14:textId="2D92F06C">
                  <w:pPr>
                    <w:keepNext/>
                    <w:spacing w:after="60"/>
                  </w:pPr>
                </w:p>
              </w:tc>
              <w:tc>
                <w:tcPr>
                  <w:tcW w:w="1984" w:type="dxa"/>
                </w:tcPr>
                <w:p w:rsidR="00390FA7" w:rsidP="00907FDB" w:rsidRDefault="00390FA7" w14:paraId="5BC8B5B5" w14:textId="77777777">
                  <w:pPr>
                    <w:keepNext/>
                    <w:spacing w:after="60"/>
                  </w:pPr>
                </w:p>
              </w:tc>
            </w:tr>
          </w:tbl>
          <w:p w:rsidRPr="00986554" w:rsidR="001564A4" w:rsidP="00986554" w:rsidRDefault="001564A4" w14:paraId="5F58D34F" w14:textId="360B8AFE">
            <w:pPr>
              <w:pStyle w:val="Pa12"/>
              <w:rPr>
                <w:color w:val="000000"/>
                <w:sz w:val="22"/>
                <w:szCs w:val="22"/>
              </w:rPr>
            </w:pPr>
            <w:r w:rsidRPr="00604148">
              <w:rPr>
                <w:rStyle w:val="A4"/>
                <w:b/>
                <w:bCs/>
              </w:rPr>
              <w:t xml:space="preserve">Conclusion: </w:t>
            </w:r>
            <w:r w:rsidR="002D34B4">
              <w:rPr>
                <w:rStyle w:val="A4"/>
              </w:rPr>
              <w:t>A</w:t>
            </w:r>
            <w:r w:rsidR="00A90C0C">
              <w:rPr>
                <w:rStyle w:val="A4"/>
              </w:rPr>
              <w:t xml:space="preserve">lthough PLCOM2012 risk </w:t>
            </w:r>
            <w:r w:rsidR="00001D59">
              <w:rPr>
                <w:rStyle w:val="A4"/>
              </w:rPr>
              <w:t>i</w:t>
            </w:r>
            <w:r w:rsidR="00A90C0C">
              <w:rPr>
                <w:rStyle w:val="A4"/>
              </w:rPr>
              <w:t xml:space="preserve">s likely to be underestimated due to missing variables, </w:t>
            </w:r>
            <w:r w:rsidR="00476EE8">
              <w:rPr>
                <w:rStyle w:val="A4"/>
              </w:rPr>
              <w:t xml:space="preserve">a substantial proportion of </w:t>
            </w:r>
            <w:r w:rsidR="00CE2A19">
              <w:rPr>
                <w:rStyle w:val="A4"/>
              </w:rPr>
              <w:t xml:space="preserve">adults </w:t>
            </w:r>
            <w:r w:rsidR="00CF3EBF">
              <w:rPr>
                <w:rStyle w:val="A4"/>
              </w:rPr>
              <w:t xml:space="preserve">18 years and older, </w:t>
            </w:r>
            <w:r w:rsidR="00CE2A19">
              <w:rPr>
                <w:rStyle w:val="A4"/>
              </w:rPr>
              <w:t>contact</w:t>
            </w:r>
            <w:r w:rsidR="00F93B21">
              <w:rPr>
                <w:rStyle w:val="A4"/>
              </w:rPr>
              <w:t>ing</w:t>
            </w:r>
            <w:r w:rsidR="00CE2A19">
              <w:rPr>
                <w:rStyle w:val="A4"/>
              </w:rPr>
              <w:t xml:space="preserve"> Quitline for the first time</w:t>
            </w:r>
            <w:r w:rsidR="00986554">
              <w:rPr>
                <w:rStyle w:val="A4"/>
              </w:rPr>
              <w:t>,</w:t>
            </w:r>
            <w:r w:rsidR="0055539A">
              <w:rPr>
                <w:rStyle w:val="A4"/>
              </w:rPr>
              <w:t xml:space="preserve"> </w:t>
            </w:r>
            <w:r w:rsidR="00BE7D0E">
              <w:rPr>
                <w:rStyle w:val="A4"/>
              </w:rPr>
              <w:t>meet</w:t>
            </w:r>
            <w:r w:rsidR="0055539A">
              <w:rPr>
                <w:rStyle w:val="A4"/>
              </w:rPr>
              <w:t xml:space="preserve"> </w:t>
            </w:r>
            <w:r w:rsidR="00F93B21">
              <w:rPr>
                <w:rStyle w:val="A4"/>
              </w:rPr>
              <w:t>LCS</w:t>
            </w:r>
            <w:r w:rsidR="00BE7D0E">
              <w:rPr>
                <w:rStyle w:val="A4"/>
              </w:rPr>
              <w:t xml:space="preserve"> </w:t>
            </w:r>
            <w:r w:rsidR="0055539A">
              <w:rPr>
                <w:rStyle w:val="A4"/>
              </w:rPr>
              <w:t>eligib</w:t>
            </w:r>
            <w:r w:rsidR="00BE7D0E">
              <w:rPr>
                <w:rStyle w:val="A4"/>
              </w:rPr>
              <w:t xml:space="preserve">ility. </w:t>
            </w:r>
            <w:r w:rsidR="00A90C0C">
              <w:rPr>
                <w:rStyle w:val="A4"/>
              </w:rPr>
              <w:t xml:space="preserve">Quitline </w:t>
            </w:r>
            <w:r w:rsidR="00AE09F3">
              <w:rPr>
                <w:rStyle w:val="A4"/>
              </w:rPr>
              <w:t>should be considered a viable pathway into the N</w:t>
            </w:r>
            <w:r w:rsidR="007C1B75">
              <w:rPr>
                <w:rStyle w:val="A4"/>
              </w:rPr>
              <w:t>L</w:t>
            </w:r>
            <w:r w:rsidR="00AE09F3">
              <w:rPr>
                <w:rStyle w:val="A4"/>
              </w:rPr>
              <w:t>C</w:t>
            </w:r>
            <w:r w:rsidR="007C1B75">
              <w:rPr>
                <w:rStyle w:val="A4"/>
              </w:rPr>
              <w:t>S</w:t>
            </w:r>
            <w:r w:rsidR="00AE09F3">
              <w:rPr>
                <w:rStyle w:val="A4"/>
              </w:rPr>
              <w:t>P.</w:t>
            </w:r>
          </w:p>
        </w:tc>
      </w:tr>
      <w:tr w:rsidRPr="0050053A" w:rsidR="00CE0FA2" w:rsidTr="732D8897" w14:paraId="51455315" w14:textId="77777777">
        <w:trPr>
          <w:trHeight w:val="6886" w:hRule="exact"/>
          <w:jc w:val="center"/>
        </w:trPr>
        <w:tc>
          <w:tcPr>
            <w:tcW w:w="8640" w:type="dxa"/>
            <w:shd w:val="clear" w:color="auto" w:fill="auto"/>
            <w:tcMar/>
          </w:tcPr>
          <w:p w:rsidRPr="00604148" w:rsidR="00CE0FA2" w:rsidP="000A28E2" w:rsidRDefault="00CE0FA2" w14:paraId="60199A67" w14:textId="77777777">
            <w:pPr>
              <w:pStyle w:val="Pa12"/>
              <w:rPr>
                <w:rStyle w:val="A4"/>
                <w:b/>
                <w:bCs/>
              </w:rPr>
            </w:pPr>
          </w:p>
        </w:tc>
      </w:tr>
    </w:tbl>
    <w:p w:rsidR="00E0700F" w:rsidP="001564A4" w:rsidRDefault="00E0700F" w14:paraId="7C36A9DC" w14:textId="32A70617"/>
    <w:sectPr w:rsidR="00E0700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5713"/>
    <w:multiLevelType w:val="hybridMultilevel"/>
    <w:tmpl w:val="599073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315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1D59"/>
    <w:rsid w:val="00001FEC"/>
    <w:rsid w:val="00004EFC"/>
    <w:rsid w:val="0002407A"/>
    <w:rsid w:val="00030988"/>
    <w:rsid w:val="000B116D"/>
    <w:rsid w:val="001564A4"/>
    <w:rsid w:val="001826EF"/>
    <w:rsid w:val="00185B15"/>
    <w:rsid w:val="0019129D"/>
    <w:rsid w:val="001C4EFA"/>
    <w:rsid w:val="001E51C4"/>
    <w:rsid w:val="001F7010"/>
    <w:rsid w:val="002033A6"/>
    <w:rsid w:val="00212FF8"/>
    <w:rsid w:val="00234640"/>
    <w:rsid w:val="00255155"/>
    <w:rsid w:val="00265961"/>
    <w:rsid w:val="002B2B62"/>
    <w:rsid w:val="002B6C26"/>
    <w:rsid w:val="002D1875"/>
    <w:rsid w:val="002D34B4"/>
    <w:rsid w:val="002E322D"/>
    <w:rsid w:val="002F1E21"/>
    <w:rsid w:val="002F4CB7"/>
    <w:rsid w:val="003166DF"/>
    <w:rsid w:val="00324F43"/>
    <w:rsid w:val="00331682"/>
    <w:rsid w:val="00350F66"/>
    <w:rsid w:val="00355331"/>
    <w:rsid w:val="00360740"/>
    <w:rsid w:val="0036585D"/>
    <w:rsid w:val="00390FA7"/>
    <w:rsid w:val="003A4402"/>
    <w:rsid w:val="003B0245"/>
    <w:rsid w:val="003E51F4"/>
    <w:rsid w:val="00400E4B"/>
    <w:rsid w:val="00404CC7"/>
    <w:rsid w:val="00415995"/>
    <w:rsid w:val="00476EE8"/>
    <w:rsid w:val="004C125C"/>
    <w:rsid w:val="004C1911"/>
    <w:rsid w:val="004C7E8C"/>
    <w:rsid w:val="00506652"/>
    <w:rsid w:val="00507EA3"/>
    <w:rsid w:val="0051574E"/>
    <w:rsid w:val="0053769E"/>
    <w:rsid w:val="0055539A"/>
    <w:rsid w:val="005912DB"/>
    <w:rsid w:val="005A1128"/>
    <w:rsid w:val="005B1919"/>
    <w:rsid w:val="006003AB"/>
    <w:rsid w:val="00604148"/>
    <w:rsid w:val="006250BA"/>
    <w:rsid w:val="00644100"/>
    <w:rsid w:val="00671764"/>
    <w:rsid w:val="006829F6"/>
    <w:rsid w:val="00686655"/>
    <w:rsid w:val="006B4200"/>
    <w:rsid w:val="006D433D"/>
    <w:rsid w:val="006D44D8"/>
    <w:rsid w:val="006F7C73"/>
    <w:rsid w:val="00730F62"/>
    <w:rsid w:val="0078568C"/>
    <w:rsid w:val="007C1B75"/>
    <w:rsid w:val="007C6AF3"/>
    <w:rsid w:val="007F0234"/>
    <w:rsid w:val="00846F9B"/>
    <w:rsid w:val="00860290"/>
    <w:rsid w:val="00876B81"/>
    <w:rsid w:val="008803FA"/>
    <w:rsid w:val="00882ACA"/>
    <w:rsid w:val="00891DF0"/>
    <w:rsid w:val="00894787"/>
    <w:rsid w:val="008E0028"/>
    <w:rsid w:val="00907FDB"/>
    <w:rsid w:val="00926D54"/>
    <w:rsid w:val="00955E00"/>
    <w:rsid w:val="00960423"/>
    <w:rsid w:val="00960631"/>
    <w:rsid w:val="00986554"/>
    <w:rsid w:val="009912A6"/>
    <w:rsid w:val="009F5A63"/>
    <w:rsid w:val="00A122C4"/>
    <w:rsid w:val="00A25553"/>
    <w:rsid w:val="00A31749"/>
    <w:rsid w:val="00A42C90"/>
    <w:rsid w:val="00A90C0C"/>
    <w:rsid w:val="00AC45D9"/>
    <w:rsid w:val="00AE09F3"/>
    <w:rsid w:val="00AE3D1D"/>
    <w:rsid w:val="00B12E32"/>
    <w:rsid w:val="00B14EE3"/>
    <w:rsid w:val="00B303EF"/>
    <w:rsid w:val="00B35C51"/>
    <w:rsid w:val="00B36B82"/>
    <w:rsid w:val="00B37843"/>
    <w:rsid w:val="00B43C9A"/>
    <w:rsid w:val="00B47D38"/>
    <w:rsid w:val="00B90950"/>
    <w:rsid w:val="00B91DDE"/>
    <w:rsid w:val="00BA53FF"/>
    <w:rsid w:val="00BA758C"/>
    <w:rsid w:val="00BA797F"/>
    <w:rsid w:val="00BC0BD0"/>
    <w:rsid w:val="00BE74BE"/>
    <w:rsid w:val="00BE7D0E"/>
    <w:rsid w:val="00BF46E6"/>
    <w:rsid w:val="00C27C7A"/>
    <w:rsid w:val="00C427F0"/>
    <w:rsid w:val="00C6091A"/>
    <w:rsid w:val="00C6171C"/>
    <w:rsid w:val="00C667D2"/>
    <w:rsid w:val="00CA1A3A"/>
    <w:rsid w:val="00CE0FA2"/>
    <w:rsid w:val="00CE2A19"/>
    <w:rsid w:val="00CF3EBF"/>
    <w:rsid w:val="00D232D2"/>
    <w:rsid w:val="00D249DA"/>
    <w:rsid w:val="00D32428"/>
    <w:rsid w:val="00D52149"/>
    <w:rsid w:val="00D54461"/>
    <w:rsid w:val="00D76E4F"/>
    <w:rsid w:val="00D86522"/>
    <w:rsid w:val="00D90C55"/>
    <w:rsid w:val="00DA0225"/>
    <w:rsid w:val="00DA0B45"/>
    <w:rsid w:val="00DA7535"/>
    <w:rsid w:val="00DC4C74"/>
    <w:rsid w:val="00DC6BBE"/>
    <w:rsid w:val="00DD0930"/>
    <w:rsid w:val="00E0700F"/>
    <w:rsid w:val="00E22E22"/>
    <w:rsid w:val="00E43C5B"/>
    <w:rsid w:val="00E473B8"/>
    <w:rsid w:val="00E52BBD"/>
    <w:rsid w:val="00E54678"/>
    <w:rsid w:val="00E7066A"/>
    <w:rsid w:val="00E7513D"/>
    <w:rsid w:val="00EA1BA5"/>
    <w:rsid w:val="00EB234D"/>
    <w:rsid w:val="00EC50F2"/>
    <w:rsid w:val="00F07F1E"/>
    <w:rsid w:val="00F44B39"/>
    <w:rsid w:val="00F63F68"/>
    <w:rsid w:val="00F70371"/>
    <w:rsid w:val="00F758E1"/>
    <w:rsid w:val="00F93B21"/>
    <w:rsid w:val="00F95FFF"/>
    <w:rsid w:val="00FA600E"/>
    <w:rsid w:val="00FD31BF"/>
    <w:rsid w:val="00FF7C89"/>
    <w:rsid w:val="11ACC4F4"/>
    <w:rsid w:val="34B42960"/>
    <w:rsid w:val="732D8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hAnsi="Atlas Grotesk Regular" w:eastAsiaTheme="minorHAnsi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64A4"/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1564A4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eastAsia="en-NZ"/>
    </w:rPr>
  </w:style>
  <w:style w:type="character" w:styleId="A4" w:customStyle="1">
    <w:name w:val="A4"/>
    <w:uiPriority w:val="99"/>
    <w:rsid w:val="001564A4"/>
    <w:rPr>
      <w:color w:val="000000"/>
      <w:sz w:val="22"/>
      <w:szCs w:val="22"/>
    </w:rPr>
  </w:style>
  <w:style w:type="paragraph" w:styleId="Pa12" w:customStyle="1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ListParagraph">
    <w:name w:val="List Paragraph"/>
    <w:aliases w:val="Bullet Point,Bullet point,Bulletr List Paragraph,Content descriptions,FooterText,L,List Bullet 1,List Paragraph1,List Paragraph11,List Paragraph2,List Paragraph21,Listeafsnit1,NFP GP Bulleted List,Paragraphe de liste1,Recommendation,リスト段落"/>
    <w:basedOn w:val="Normal"/>
    <w:link w:val="ListParagraphChar"/>
    <w:uiPriority w:val="34"/>
    <w:qFormat/>
    <w:rsid w:val="00604148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val="en-AU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unhideWhenUsed/>
    <w:rsid w:val="00604148"/>
    <w:pPr>
      <w:spacing w:after="160"/>
    </w:pPr>
    <w:rPr>
      <w:rFonts w:asciiTheme="minorHAnsi" w:hAnsiTheme="minorHAnsi" w:eastAsiaTheme="minorHAnsi" w:cstheme="minorBidi"/>
      <w:kern w:val="2"/>
      <w:sz w:val="20"/>
      <w:szCs w:val="20"/>
      <w:lang w:val="en-AU"/>
      <w14:ligatures w14:val="standardContextual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04148"/>
    <w:rPr>
      <w:rFonts w:asciiTheme="minorHAnsi" w:hAnsiTheme="minorHAnsi"/>
      <w:kern w:val="2"/>
      <w:lang w:val="en-AU"/>
      <w14:ligatures w14:val="standardContextual"/>
    </w:rPr>
  </w:style>
  <w:style w:type="character" w:styleId="ListParagraphChar" w:customStyle="1">
    <w:name w:val="List Paragraph Char"/>
    <w:aliases w:val="Bullet Point Char,Bullet point Char,Bulletr List Paragraph Char,Content descriptions Char,FooterText Char,L Char,List Bullet 1 Char,List Paragraph1 Char,List Paragraph11 Char,List Paragraph2 Char,List Paragraph21 Char,リスト段落 Char"/>
    <w:basedOn w:val="DefaultParagraphFont"/>
    <w:link w:val="ListParagraph"/>
    <w:uiPriority w:val="34"/>
    <w:locked/>
    <w:rsid w:val="00604148"/>
    <w:rPr>
      <w:rFonts w:asciiTheme="minorHAnsi" w:hAnsiTheme="minorHAnsi"/>
      <w:kern w:val="2"/>
      <w:sz w:val="22"/>
      <w:szCs w:val="22"/>
      <w:lang w:val="en-AU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604148"/>
    <w:rPr>
      <w:i/>
      <w:iCs/>
    </w:rPr>
  </w:style>
  <w:style w:type="paragraph" w:styleId="Revision">
    <w:name w:val="Revision"/>
    <w:hidden/>
    <w:uiPriority w:val="99"/>
    <w:semiHidden/>
    <w:rsid w:val="00FF7C89"/>
    <w:rPr>
      <w:rFonts w:ascii="Times New Roman" w:hAnsi="Times New Roman" w:eastAsia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6D43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A1A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A3A"/>
    <w:pPr>
      <w:spacing w:after="0"/>
    </w:pPr>
    <w:rPr>
      <w:rFonts w:ascii="Times New Roman" w:hAnsi="Times New Roman" w:eastAsia="Times New Roman" w:cs="Times New Roman"/>
      <w:b/>
      <w:bCs/>
      <w:kern w:val="0"/>
      <w:lang w:val="en-GB"/>
      <w14:ligatures w14:val="none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A1A3A"/>
    <w:rPr>
      <w:rFonts w:ascii="Times New Roman" w:hAnsi="Times New Roman" w:eastAsia="Times New Roman" w:cs="Times New Roman"/>
      <w:b/>
      <w:bCs/>
      <w:kern w:val="2"/>
      <w:lang w:val="en-GB"/>
      <w14:ligatures w14:val="standardContextual"/>
    </w:rPr>
  </w:style>
  <w:style w:type="table" w:styleId="Table" w:customStyle="1">
    <w:name w:val="Table"/>
    <w:semiHidden/>
    <w:unhideWhenUsed/>
    <w:qFormat/>
    <w:rsid w:val="00907FDB"/>
    <w:pPr>
      <w:spacing w:after="200"/>
    </w:pPr>
    <w:rPr>
      <w:rFonts w:asciiTheme="minorHAnsi" w:hAnsiTheme="minorHAnsi"/>
      <w:sz w:val="24"/>
      <w:szCs w:val="24"/>
      <w:lang w:val="en-US"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color="auto" w:sz="0" w:space="0"/>
        </w:tcBorders>
        <w:vAlign w:val="bottom"/>
      </w:tcPr>
    </w:tblStylePr>
  </w:style>
  <w:style w:type="character" w:styleId="Hyperlink">
    <w:name w:val="Hyperlink"/>
    <w:basedOn w:val="DefaultParagraphFont"/>
    <w:uiPriority w:val="99"/>
    <w:unhideWhenUsed/>
    <w:rsid w:val="00955E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Lele Talagi</dc:creator>
  <keywords/>
  <dc:description/>
  <lastModifiedBy>Henry Marshall</lastModifiedBy>
  <revision>4</revision>
  <dcterms:created xsi:type="dcterms:W3CDTF">2023-10-15T23:53:00.0000000Z</dcterms:created>
  <dcterms:modified xsi:type="dcterms:W3CDTF">2023-10-17T12:24:27.7729329Z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