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5"/>
      </w:tblGrid>
      <w:tr w:rsidR="001564A4" w:rsidRPr="0050053A" w14:paraId="5C38377B" w14:textId="77777777" w:rsidTr="00734C96">
        <w:trPr>
          <w:trHeight w:val="851"/>
          <w:jc w:val="center"/>
        </w:trPr>
        <w:tc>
          <w:tcPr>
            <w:tcW w:w="8785" w:type="dxa"/>
            <w:shd w:val="clear" w:color="auto" w:fill="auto"/>
          </w:tcPr>
          <w:p w14:paraId="5C44F357" w14:textId="1FDF3F8E" w:rsidR="001564A4" w:rsidRPr="0050053A" w:rsidRDefault="00AC1707" w:rsidP="000A28E2">
            <w:pPr>
              <w:spacing w:before="120" w:after="120"/>
              <w:rPr>
                <w:rFonts w:ascii="Arial" w:hAnsi="Arial" w:cs="Arial"/>
                <w:b/>
                <w:sz w:val="22"/>
                <w:szCs w:val="22"/>
                <w:lang w:val="en-US" w:eastAsia="zh-CN"/>
              </w:rPr>
            </w:pPr>
            <w:r>
              <w:rPr>
                <w:rFonts w:ascii="Arial" w:hAnsi="Arial" w:cs="Arial"/>
                <w:b/>
                <w:sz w:val="22"/>
                <w:szCs w:val="22"/>
                <w:lang w:val="en-US" w:eastAsia="en-GB"/>
              </w:rPr>
              <w:t xml:space="preserve">Comparison of </w:t>
            </w:r>
            <w:proofErr w:type="spellStart"/>
            <w:r>
              <w:rPr>
                <w:rFonts w:ascii="Arial" w:hAnsi="Arial" w:cs="Arial"/>
                <w:b/>
                <w:sz w:val="22"/>
                <w:szCs w:val="22"/>
                <w:lang w:val="en-US" w:eastAsia="en-GB"/>
              </w:rPr>
              <w:t>hospitalised</w:t>
            </w:r>
            <w:proofErr w:type="spellEnd"/>
            <w:r>
              <w:rPr>
                <w:rFonts w:ascii="Arial" w:hAnsi="Arial" w:cs="Arial"/>
                <w:b/>
                <w:sz w:val="22"/>
                <w:szCs w:val="22"/>
                <w:lang w:val="en-US" w:eastAsia="en-GB"/>
              </w:rPr>
              <w:t xml:space="preserve"> AECOPDs secondary to SARS-CoV-2 versus the other respiratory viruses</w:t>
            </w:r>
          </w:p>
        </w:tc>
      </w:tr>
      <w:tr w:rsidR="001564A4" w:rsidRPr="0050053A" w14:paraId="0E2E035C" w14:textId="77777777" w:rsidTr="00734C96">
        <w:trPr>
          <w:trHeight w:val="574"/>
          <w:jc w:val="center"/>
        </w:trPr>
        <w:tc>
          <w:tcPr>
            <w:tcW w:w="8785" w:type="dxa"/>
            <w:shd w:val="clear" w:color="auto" w:fill="auto"/>
          </w:tcPr>
          <w:p w14:paraId="73B55295" w14:textId="427756E8" w:rsidR="001564A4" w:rsidRPr="00413B94" w:rsidRDefault="00AC1707" w:rsidP="000A28E2">
            <w:pPr>
              <w:spacing w:before="120" w:after="120"/>
              <w:rPr>
                <w:rFonts w:ascii="Arial" w:hAnsi="Arial" w:cs="Arial"/>
                <w:sz w:val="22"/>
                <w:szCs w:val="22"/>
                <w:u w:val="single"/>
                <w:lang w:eastAsia="zh-CN"/>
              </w:rPr>
            </w:pPr>
            <w:r>
              <w:rPr>
                <w:rFonts w:ascii="Arial" w:hAnsi="Arial" w:cs="Arial"/>
                <w:sz w:val="22"/>
                <w:szCs w:val="22"/>
                <w:lang w:val="en-US" w:eastAsia="en-GB"/>
              </w:rPr>
              <w:t>Louis Chhor</w:t>
            </w:r>
            <w:r w:rsidR="001564A4" w:rsidRPr="00413B94">
              <w:rPr>
                <w:rFonts w:ascii="Arial" w:hAnsi="Arial" w:cs="Arial"/>
                <w:sz w:val="22"/>
                <w:szCs w:val="22"/>
                <w:vertAlign w:val="superscript"/>
                <w:lang w:val="en-US" w:eastAsia="en-GB"/>
              </w:rPr>
              <w:t>1</w:t>
            </w:r>
            <w:bookmarkStart w:id="0" w:name="Text8"/>
            <w:r w:rsidR="00187D96">
              <w:rPr>
                <w:rFonts w:ascii="Arial" w:hAnsi="Arial" w:cs="Arial"/>
                <w:sz w:val="22"/>
                <w:szCs w:val="22"/>
                <w:vertAlign w:val="superscript"/>
                <w:lang w:val="en-US" w:eastAsia="en-GB"/>
              </w:rPr>
              <w:t>,2</w:t>
            </w:r>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Martin MacDonald</w:t>
            </w:r>
            <w:r w:rsidR="00187D96" w:rsidRPr="00187D96">
              <w:rPr>
                <w:rFonts w:ascii="Arial" w:hAnsi="Arial" w:cs="Arial"/>
                <w:sz w:val="22"/>
                <w:szCs w:val="22"/>
                <w:vertAlign w:val="superscript"/>
                <w:lang w:val="en-US" w:eastAsia="en-GB"/>
              </w:rPr>
              <w:t>1,</w:t>
            </w:r>
            <w:r w:rsidR="001564A4" w:rsidRPr="00413B94">
              <w:rPr>
                <w:rFonts w:ascii="Arial" w:hAnsi="Arial" w:cs="Arial"/>
                <w:sz w:val="22"/>
                <w:szCs w:val="22"/>
                <w:vertAlign w:val="superscript"/>
                <w:lang w:val="en-US" w:eastAsia="en-GB"/>
              </w:rPr>
              <w:t>2</w:t>
            </w:r>
            <w:r w:rsidR="001564A4" w:rsidRPr="00413B94">
              <w:rPr>
                <w:rFonts w:ascii="Arial" w:hAnsi="Arial" w:cs="Arial"/>
                <w:sz w:val="22"/>
                <w:szCs w:val="22"/>
                <w:lang w:val="en-US" w:eastAsia="en-GB"/>
              </w:rPr>
              <w:t>,</w:t>
            </w:r>
            <w:r>
              <w:rPr>
                <w:rFonts w:ascii="Arial" w:hAnsi="Arial" w:cs="Arial"/>
                <w:sz w:val="22"/>
                <w:szCs w:val="22"/>
                <w:lang w:val="en-US" w:eastAsia="en-GB"/>
              </w:rPr>
              <w:t xml:space="preserve"> Stefan Saggese</w:t>
            </w:r>
            <w:r w:rsidR="00187D96">
              <w:rPr>
                <w:rFonts w:ascii="Arial" w:hAnsi="Arial" w:cs="Arial"/>
                <w:sz w:val="22"/>
                <w:szCs w:val="22"/>
                <w:vertAlign w:val="superscript"/>
                <w:lang w:val="en-US" w:eastAsia="en-GB"/>
              </w:rPr>
              <w:t>2</w:t>
            </w:r>
            <w:r w:rsidR="001564A4" w:rsidRPr="00413B94">
              <w:rPr>
                <w:rFonts w:ascii="Arial" w:hAnsi="Arial" w:cs="Arial"/>
                <w:sz w:val="22"/>
                <w:szCs w:val="22"/>
                <w:lang w:val="en-US" w:eastAsia="en-GB"/>
              </w:rPr>
              <w:t>,</w:t>
            </w:r>
            <w:r>
              <w:rPr>
                <w:rFonts w:ascii="Arial" w:hAnsi="Arial" w:cs="Arial"/>
                <w:sz w:val="22"/>
                <w:szCs w:val="22"/>
                <w:lang w:val="en-US" w:eastAsia="en-GB"/>
              </w:rPr>
              <w:t xml:space="preserve"> </w:t>
            </w:r>
            <w:proofErr w:type="spellStart"/>
            <w:r>
              <w:rPr>
                <w:rFonts w:ascii="Arial" w:hAnsi="Arial" w:cs="Arial"/>
                <w:sz w:val="22"/>
                <w:szCs w:val="22"/>
                <w:lang w:val="en-US" w:eastAsia="en-GB"/>
              </w:rPr>
              <w:t>Garun</w:t>
            </w:r>
            <w:proofErr w:type="spellEnd"/>
            <w:r>
              <w:rPr>
                <w:rFonts w:ascii="Arial" w:hAnsi="Arial" w:cs="Arial"/>
                <w:sz w:val="22"/>
                <w:szCs w:val="22"/>
                <w:lang w:val="en-US" w:eastAsia="en-GB"/>
              </w:rPr>
              <w:t xml:space="preserve"> Hamilton</w:t>
            </w:r>
            <w:r w:rsidR="00187D96">
              <w:rPr>
                <w:rFonts w:ascii="Arial" w:hAnsi="Arial" w:cs="Arial"/>
                <w:sz w:val="22"/>
                <w:szCs w:val="22"/>
                <w:vertAlign w:val="superscript"/>
                <w:lang w:val="en-US" w:eastAsia="en-GB"/>
              </w:rPr>
              <w:t>1,3</w:t>
            </w:r>
          </w:p>
        </w:tc>
      </w:tr>
      <w:tr w:rsidR="001564A4" w:rsidRPr="0050053A" w14:paraId="385A19D9" w14:textId="77777777" w:rsidTr="00734C96">
        <w:trPr>
          <w:trHeight w:val="158"/>
          <w:jc w:val="center"/>
        </w:trPr>
        <w:tc>
          <w:tcPr>
            <w:tcW w:w="8785" w:type="dxa"/>
            <w:shd w:val="clear" w:color="auto" w:fill="auto"/>
          </w:tcPr>
          <w:p w14:paraId="1643A330" w14:textId="78427173"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633EC9">
              <w:rPr>
                <w:rFonts w:ascii="Arial" w:hAnsi="Arial" w:cs="Arial"/>
                <w:i/>
                <w:sz w:val="22"/>
                <w:szCs w:val="22"/>
                <w:lang w:val="en-US" w:eastAsia="en-GB"/>
              </w:rPr>
              <w:t>Monash Lung, Sleep, Allergy and Immunology Monash Health, Victoria, Australia</w:t>
            </w:r>
          </w:p>
          <w:p w14:paraId="3BD815D8" w14:textId="7ADAF551"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633EC9">
              <w:rPr>
                <w:rFonts w:ascii="Arial" w:hAnsi="Arial" w:cs="Arial"/>
                <w:i/>
                <w:sz w:val="22"/>
                <w:szCs w:val="22"/>
                <w:lang w:val="en-US" w:eastAsia="en-GB"/>
              </w:rPr>
              <w:t>Department of General Medicine, Monash Health, Victoria, Australia</w:t>
            </w:r>
          </w:p>
          <w:p w14:paraId="45ED36BF" w14:textId="69EED268"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3</w:t>
            </w:r>
            <w:r w:rsidR="00633EC9">
              <w:rPr>
                <w:rFonts w:ascii="Arial" w:hAnsi="Arial" w:cs="Arial"/>
                <w:i/>
                <w:sz w:val="22"/>
                <w:szCs w:val="22"/>
                <w:lang w:val="en-US" w:eastAsia="en-GB"/>
              </w:rPr>
              <w:t>School of Clinical Sciences, Monash University, Victoria, Australia</w:t>
            </w:r>
          </w:p>
        </w:tc>
      </w:tr>
      <w:tr w:rsidR="001564A4" w:rsidRPr="0050053A" w14:paraId="6DAF615A" w14:textId="77777777" w:rsidTr="00734C96">
        <w:trPr>
          <w:trHeight w:hRule="exact" w:val="8591"/>
          <w:jc w:val="center"/>
        </w:trPr>
        <w:tc>
          <w:tcPr>
            <w:tcW w:w="8785" w:type="dxa"/>
            <w:shd w:val="clear" w:color="auto" w:fill="auto"/>
          </w:tcPr>
          <w:p w14:paraId="739E7937" w14:textId="77777777" w:rsidR="001564A4" w:rsidRPr="00F5553F" w:rsidRDefault="001564A4" w:rsidP="000A28E2">
            <w:pPr>
              <w:pStyle w:val="Pa12"/>
              <w:rPr>
                <w:rStyle w:val="A4"/>
                <w:sz w:val="20"/>
                <w:szCs w:val="20"/>
              </w:rPr>
            </w:pPr>
            <w:r w:rsidRPr="00F5553F">
              <w:rPr>
                <w:rStyle w:val="A4"/>
                <w:b/>
                <w:bCs/>
                <w:sz w:val="20"/>
                <w:szCs w:val="20"/>
              </w:rPr>
              <w:t xml:space="preserve">Introduction/Aim: </w:t>
            </w:r>
          </w:p>
          <w:p w14:paraId="2251F6D5" w14:textId="5949BB07" w:rsidR="001564A4" w:rsidRPr="00F5553F" w:rsidRDefault="00734C96" w:rsidP="000A28E2">
            <w:pPr>
              <w:pStyle w:val="Pa12"/>
              <w:rPr>
                <w:sz w:val="20"/>
                <w:szCs w:val="20"/>
              </w:rPr>
            </w:pPr>
            <w:r w:rsidRPr="00F5553F">
              <w:rPr>
                <w:sz w:val="20"/>
                <w:szCs w:val="20"/>
              </w:rPr>
              <w:t xml:space="preserve">Viral Hospitalised AECOPD are associated with longer hospitalisation compared to non-viral exacerbations. Whilst comorbid COPD was shown to increase mortality among early reported cohorts of hospitalised SARS-CoV-2 infection, the prognosis of SARS-CoV-2 infection has since improved with vaccination, viral mutations and effective pharmacotherapies. The relative impact of SARS-CoV-2 versus other respiratory viruses in hospitalised AECOPD in the current era has not been reported in the Australian context. </w:t>
            </w:r>
          </w:p>
          <w:p w14:paraId="12D3AD83" w14:textId="50DB7B1A" w:rsidR="00734C96" w:rsidRPr="00F5553F" w:rsidRDefault="00734C96" w:rsidP="00734C96">
            <w:pPr>
              <w:pStyle w:val="Default"/>
              <w:rPr>
                <w:sz w:val="20"/>
                <w:szCs w:val="20"/>
              </w:rPr>
            </w:pPr>
            <w:r w:rsidRPr="00F5553F">
              <w:rPr>
                <w:sz w:val="20"/>
                <w:szCs w:val="20"/>
              </w:rPr>
              <w:t>This study describes the clinical characteristics and outcomes of hospitalised AECOPD due to SARS-CoV-2 versus the other respiratory viruses.</w:t>
            </w:r>
          </w:p>
          <w:p w14:paraId="3D770CF7" w14:textId="77777777" w:rsidR="001564A4" w:rsidRPr="00F5553F" w:rsidRDefault="001564A4" w:rsidP="000A28E2">
            <w:pPr>
              <w:pStyle w:val="Pa12"/>
              <w:rPr>
                <w:rStyle w:val="A4"/>
                <w:bCs/>
                <w:sz w:val="20"/>
                <w:szCs w:val="20"/>
              </w:rPr>
            </w:pPr>
          </w:p>
          <w:p w14:paraId="1B39336E" w14:textId="77777777" w:rsidR="001564A4" w:rsidRPr="00F5553F" w:rsidRDefault="001564A4" w:rsidP="000A28E2">
            <w:pPr>
              <w:pStyle w:val="Pa12"/>
              <w:rPr>
                <w:rStyle w:val="A4"/>
                <w:b/>
                <w:bCs/>
                <w:sz w:val="20"/>
                <w:szCs w:val="20"/>
              </w:rPr>
            </w:pPr>
            <w:r w:rsidRPr="00F5553F">
              <w:rPr>
                <w:rStyle w:val="A4"/>
                <w:b/>
                <w:bCs/>
                <w:sz w:val="20"/>
                <w:szCs w:val="20"/>
              </w:rPr>
              <w:t xml:space="preserve">Methods: </w:t>
            </w:r>
          </w:p>
          <w:p w14:paraId="5029BAE6" w14:textId="7C25C3FB" w:rsidR="001564A4" w:rsidRPr="00F5553F" w:rsidRDefault="00734C96" w:rsidP="000A28E2">
            <w:pPr>
              <w:pStyle w:val="Pa12"/>
              <w:rPr>
                <w:sz w:val="20"/>
                <w:szCs w:val="20"/>
              </w:rPr>
            </w:pPr>
            <w:r w:rsidRPr="00F5553F">
              <w:rPr>
                <w:sz w:val="20"/>
                <w:szCs w:val="20"/>
              </w:rPr>
              <w:t xml:space="preserve">Potential </w:t>
            </w:r>
            <w:r w:rsidRPr="00F5553F">
              <w:rPr>
                <w:sz w:val="20"/>
                <w:szCs w:val="20"/>
              </w:rPr>
              <w:t>AECOPD admissions between Jan 2022 – Aug 2022 were identified using discharge codes. During this period, circulating strains of SARS-Co</w:t>
            </w:r>
            <w:r w:rsidRPr="00F5553F">
              <w:rPr>
                <w:sz w:val="20"/>
                <w:szCs w:val="20"/>
              </w:rPr>
              <w:t>V-</w:t>
            </w:r>
            <w:r w:rsidRPr="00F5553F">
              <w:rPr>
                <w:sz w:val="20"/>
                <w:szCs w:val="20"/>
              </w:rPr>
              <w:t>2 in the local population were generally Omicron derived. Manual case record inspection was performed to confirm accurate identification of AECOPDs with positive viral testing. Subjects were divided into AECOPD due to SARS-CoV-2 and AECOPD due to other viruses. Clinical characteristics and outcomes were compared between the two populations.</w:t>
            </w:r>
          </w:p>
          <w:p w14:paraId="58D6DB5C" w14:textId="77777777" w:rsidR="00734C96" w:rsidRPr="00F5553F" w:rsidRDefault="00734C96" w:rsidP="00734C96">
            <w:pPr>
              <w:pStyle w:val="Default"/>
              <w:rPr>
                <w:sz w:val="20"/>
                <w:szCs w:val="20"/>
              </w:rPr>
            </w:pPr>
          </w:p>
          <w:p w14:paraId="6BF3F094" w14:textId="77777777" w:rsidR="001564A4" w:rsidRPr="00F5553F" w:rsidRDefault="001564A4" w:rsidP="000A28E2">
            <w:pPr>
              <w:pStyle w:val="Pa12"/>
              <w:rPr>
                <w:rStyle w:val="A4"/>
                <w:b/>
                <w:bCs/>
                <w:sz w:val="20"/>
                <w:szCs w:val="20"/>
              </w:rPr>
            </w:pPr>
            <w:r w:rsidRPr="00F5553F">
              <w:rPr>
                <w:rStyle w:val="A4"/>
                <w:b/>
                <w:bCs/>
                <w:sz w:val="20"/>
                <w:szCs w:val="20"/>
              </w:rPr>
              <w:t xml:space="preserve">Results: </w:t>
            </w:r>
          </w:p>
          <w:p w14:paraId="18F77515" w14:textId="25576C4C" w:rsidR="001564A4" w:rsidRPr="00F5553F" w:rsidRDefault="00734C96" w:rsidP="00F5553F">
            <w:pPr>
              <w:pStyle w:val="Default"/>
              <w:rPr>
                <w:rFonts w:ascii="Times New Roman" w:hAnsi="Times New Roman" w:cs="Times New Roman"/>
                <w:sz w:val="20"/>
                <w:szCs w:val="20"/>
              </w:rPr>
            </w:pPr>
            <w:r w:rsidRPr="00F5553F">
              <w:rPr>
                <w:sz w:val="20"/>
                <w:szCs w:val="20"/>
              </w:rPr>
              <w:t xml:space="preserve">202 viral AECOPDs – 126 SARS-CoV-2 and 76 other viruses were identified. </w:t>
            </w:r>
            <w:r w:rsidRPr="00F5553F">
              <w:rPr>
                <w:sz w:val="20"/>
                <w:szCs w:val="20"/>
              </w:rPr>
              <w:t>Of the SARS-CoV2 group. 13.</w:t>
            </w:r>
            <w:r w:rsidRPr="00F5553F">
              <w:rPr>
                <w:sz w:val="20"/>
                <w:szCs w:val="20"/>
              </w:rPr>
              <w:t>5</w:t>
            </w:r>
            <w:r w:rsidRPr="00F5553F">
              <w:rPr>
                <w:sz w:val="20"/>
                <w:szCs w:val="20"/>
              </w:rPr>
              <w:t>% were unvaccinated, 17.</w:t>
            </w:r>
            <w:r w:rsidRPr="00F5553F">
              <w:rPr>
                <w:sz w:val="20"/>
                <w:szCs w:val="20"/>
              </w:rPr>
              <w:t>4</w:t>
            </w:r>
            <w:r w:rsidRPr="00F5553F">
              <w:rPr>
                <w:sz w:val="20"/>
                <w:szCs w:val="20"/>
              </w:rPr>
              <w:t>% partially and 68% fully vaccinated. The SARS-CoV-2 group were older (7</w:t>
            </w:r>
            <w:r w:rsidRPr="00F5553F">
              <w:rPr>
                <w:sz w:val="20"/>
                <w:szCs w:val="20"/>
              </w:rPr>
              <w:t>7.2</w:t>
            </w:r>
            <w:r w:rsidRPr="00F5553F">
              <w:rPr>
                <w:sz w:val="20"/>
                <w:szCs w:val="20"/>
              </w:rPr>
              <w:t xml:space="preserve"> vs 68</w:t>
            </w:r>
            <w:r w:rsidRPr="00F5553F">
              <w:rPr>
                <w:sz w:val="20"/>
                <w:szCs w:val="20"/>
              </w:rPr>
              <w:t>.8</w:t>
            </w:r>
            <w:r w:rsidRPr="00F5553F">
              <w:rPr>
                <w:sz w:val="20"/>
                <w:szCs w:val="20"/>
              </w:rPr>
              <w:t>, p&lt;0.0001) with more comorbidities (1[1-2] vs 1[0-2], p=0.005) and lower candidacy for full resuscitation (25.</w:t>
            </w:r>
            <w:r w:rsidRPr="00F5553F">
              <w:rPr>
                <w:sz w:val="20"/>
                <w:szCs w:val="20"/>
              </w:rPr>
              <w:t>3</w:t>
            </w:r>
            <w:r w:rsidRPr="00F5553F">
              <w:rPr>
                <w:sz w:val="20"/>
                <w:szCs w:val="20"/>
              </w:rPr>
              <w:t>% vs 55.</w:t>
            </w:r>
            <w:r w:rsidRPr="00F5553F">
              <w:rPr>
                <w:sz w:val="20"/>
                <w:szCs w:val="20"/>
              </w:rPr>
              <w:t>3</w:t>
            </w:r>
            <w:r w:rsidRPr="00F5553F">
              <w:rPr>
                <w:sz w:val="20"/>
                <w:szCs w:val="20"/>
              </w:rPr>
              <w:t xml:space="preserve">%, p&lt;0.001). Mortality tended to be higher among SARS-CoV2 admission (9.5% v </w:t>
            </w:r>
            <w:r w:rsidRPr="00F5553F">
              <w:rPr>
                <w:sz w:val="20"/>
                <w:szCs w:val="20"/>
              </w:rPr>
              <w:t>3</w:t>
            </w:r>
            <w:r w:rsidRPr="00F5553F">
              <w:rPr>
                <w:sz w:val="20"/>
                <w:szCs w:val="20"/>
              </w:rPr>
              <w:t>%, p=0.062) but rates of ICU admission (10.3% v 13.2%, p=0.54), length of hospitalisation (</w:t>
            </w:r>
            <w:r w:rsidRPr="00F5553F">
              <w:rPr>
                <w:sz w:val="20"/>
                <w:szCs w:val="20"/>
              </w:rPr>
              <w:t xml:space="preserve">4.8 </w:t>
            </w:r>
            <w:r w:rsidRPr="00F5553F">
              <w:rPr>
                <w:sz w:val="20"/>
                <w:szCs w:val="20"/>
              </w:rPr>
              <w:t>[</w:t>
            </w:r>
            <w:r w:rsidRPr="00F5553F">
              <w:rPr>
                <w:sz w:val="20"/>
                <w:szCs w:val="20"/>
              </w:rPr>
              <w:t>2.9 – 8.2</w:t>
            </w:r>
            <w:r w:rsidRPr="00F5553F">
              <w:rPr>
                <w:sz w:val="20"/>
                <w:szCs w:val="20"/>
              </w:rPr>
              <w:t xml:space="preserve">] vs </w:t>
            </w:r>
            <w:r w:rsidRPr="00F5553F">
              <w:rPr>
                <w:sz w:val="20"/>
                <w:szCs w:val="20"/>
              </w:rPr>
              <w:t xml:space="preserve">4.6 </w:t>
            </w:r>
            <w:r w:rsidRPr="00F5553F">
              <w:rPr>
                <w:sz w:val="20"/>
                <w:szCs w:val="20"/>
              </w:rPr>
              <w:t>[</w:t>
            </w:r>
            <w:r w:rsidRPr="00F5553F">
              <w:rPr>
                <w:sz w:val="20"/>
                <w:szCs w:val="20"/>
              </w:rPr>
              <w:t>2.8 – 6.8</w:t>
            </w:r>
            <w:r w:rsidRPr="00F5553F">
              <w:rPr>
                <w:sz w:val="20"/>
                <w:szCs w:val="20"/>
              </w:rPr>
              <w:t>], p=0.9) and readmission within 30 days (25% vs 33.</w:t>
            </w:r>
            <w:r w:rsidR="00187D96" w:rsidRPr="00F5553F">
              <w:rPr>
                <w:sz w:val="20"/>
                <w:szCs w:val="20"/>
              </w:rPr>
              <w:t>7</w:t>
            </w:r>
            <w:r w:rsidRPr="00F5553F">
              <w:rPr>
                <w:sz w:val="20"/>
                <w:szCs w:val="20"/>
              </w:rPr>
              <w:t>%, p=0.</w:t>
            </w:r>
            <w:r w:rsidR="00187D96" w:rsidRPr="00F5553F">
              <w:rPr>
                <w:sz w:val="20"/>
                <w:szCs w:val="20"/>
              </w:rPr>
              <w:t>44</w:t>
            </w:r>
            <w:r w:rsidRPr="00F5553F">
              <w:rPr>
                <w:sz w:val="20"/>
                <w:szCs w:val="20"/>
              </w:rPr>
              <w:t>) were similar.</w:t>
            </w:r>
          </w:p>
          <w:p w14:paraId="68537800" w14:textId="77777777" w:rsidR="001564A4" w:rsidRPr="00F5553F" w:rsidRDefault="001564A4" w:rsidP="000A28E2">
            <w:pPr>
              <w:pStyle w:val="Pa12"/>
              <w:rPr>
                <w:rStyle w:val="A4"/>
                <w:bCs/>
                <w:sz w:val="20"/>
                <w:szCs w:val="20"/>
              </w:rPr>
            </w:pPr>
          </w:p>
          <w:p w14:paraId="652F7BE1" w14:textId="77777777" w:rsidR="001564A4" w:rsidRPr="00F5553F" w:rsidRDefault="001564A4" w:rsidP="000A28E2">
            <w:pPr>
              <w:pStyle w:val="Pa12"/>
              <w:rPr>
                <w:rStyle w:val="A4"/>
                <w:b/>
                <w:bCs/>
                <w:sz w:val="20"/>
                <w:szCs w:val="20"/>
              </w:rPr>
            </w:pPr>
            <w:r w:rsidRPr="00F5553F">
              <w:rPr>
                <w:rStyle w:val="A4"/>
                <w:b/>
                <w:bCs/>
                <w:sz w:val="20"/>
                <w:szCs w:val="20"/>
              </w:rPr>
              <w:t xml:space="preserve">Conclusion: </w:t>
            </w:r>
          </w:p>
          <w:p w14:paraId="604C2AB0" w14:textId="77777777" w:rsidR="00734C96" w:rsidRPr="00F5553F" w:rsidRDefault="00734C96" w:rsidP="00734C96">
            <w:pPr>
              <w:pStyle w:val="Default"/>
              <w:rPr>
                <w:sz w:val="20"/>
                <w:szCs w:val="20"/>
              </w:rPr>
            </w:pPr>
            <w:r w:rsidRPr="00F5553F">
              <w:rPr>
                <w:sz w:val="20"/>
                <w:szCs w:val="20"/>
              </w:rPr>
              <w:t>In a highly vaccinated population, those hospitalised with SARS-CoV2 appear older with more comorbidities than those admitted with other respiratory viruses. Length of hospitalisation and ICU utilisation was similar. Although not reaching statistical significance in our cohort, inpatient mortality may be higher.</w:t>
            </w:r>
          </w:p>
          <w:p w14:paraId="69B04572" w14:textId="77777777" w:rsidR="001564A4" w:rsidRPr="00F5553F" w:rsidRDefault="001564A4" w:rsidP="000A28E2">
            <w:pPr>
              <w:pStyle w:val="Pa12"/>
              <w:rPr>
                <w:sz w:val="20"/>
                <w:szCs w:val="20"/>
              </w:rPr>
            </w:pPr>
            <w:r w:rsidRPr="00F5553F">
              <w:rPr>
                <w:sz w:val="20"/>
                <w:szCs w:val="20"/>
              </w:rPr>
              <w:br/>
            </w:r>
          </w:p>
          <w:p w14:paraId="2A651708" w14:textId="77777777" w:rsidR="001564A4" w:rsidRPr="00F5553F" w:rsidRDefault="001564A4" w:rsidP="000A28E2">
            <w:pPr>
              <w:pStyle w:val="Pa12"/>
              <w:rPr>
                <w:sz w:val="20"/>
                <w:szCs w:val="20"/>
              </w:rPr>
            </w:pPr>
          </w:p>
          <w:p w14:paraId="033167F9" w14:textId="77777777" w:rsidR="001564A4" w:rsidRPr="00F5553F" w:rsidRDefault="001564A4" w:rsidP="000A28E2">
            <w:pPr>
              <w:pStyle w:val="Pa12"/>
              <w:rPr>
                <w:rStyle w:val="A4"/>
                <w:bCs/>
                <w:sz w:val="20"/>
                <w:szCs w:val="20"/>
              </w:rPr>
            </w:pPr>
            <w:r w:rsidRPr="00F5553F">
              <w:rPr>
                <w:rStyle w:val="A4"/>
                <w:bCs/>
                <w:sz w:val="20"/>
                <w:szCs w:val="20"/>
              </w:rPr>
              <w:t xml:space="preserve"> </w:t>
            </w:r>
          </w:p>
          <w:p w14:paraId="196E7BAC" w14:textId="77777777" w:rsidR="001564A4" w:rsidRPr="00F5553F" w:rsidRDefault="001564A4" w:rsidP="000A28E2">
            <w:pPr>
              <w:pStyle w:val="Pa12"/>
              <w:rPr>
                <w:rStyle w:val="A4"/>
                <w:bCs/>
                <w:sz w:val="20"/>
                <w:szCs w:val="20"/>
              </w:rPr>
            </w:pPr>
            <w:r w:rsidRPr="00F5553F">
              <w:rPr>
                <w:rStyle w:val="A4"/>
                <w:bCs/>
                <w:sz w:val="20"/>
                <w:szCs w:val="20"/>
              </w:rPr>
              <w:br/>
            </w:r>
          </w:p>
          <w:p w14:paraId="3E8B4283" w14:textId="77777777" w:rsidR="001564A4" w:rsidRPr="00F5553F" w:rsidRDefault="001564A4" w:rsidP="000A28E2">
            <w:pPr>
              <w:pStyle w:val="Pa12"/>
              <w:rPr>
                <w:rStyle w:val="A4"/>
                <w:b/>
                <w:bCs/>
                <w:sz w:val="20"/>
                <w:szCs w:val="20"/>
              </w:rPr>
            </w:pPr>
            <w:r w:rsidRPr="00F5553F">
              <w:rPr>
                <w:rStyle w:val="A4"/>
                <w:b/>
                <w:bCs/>
                <w:sz w:val="20"/>
                <w:szCs w:val="20"/>
              </w:rPr>
              <w:t xml:space="preserve">Grant Support: </w:t>
            </w:r>
          </w:p>
          <w:p w14:paraId="7F8381F0" w14:textId="15FFD451" w:rsidR="001564A4" w:rsidRPr="00F5553F" w:rsidRDefault="00AC1707" w:rsidP="000A28E2">
            <w:pPr>
              <w:pStyle w:val="Pa12"/>
              <w:rPr>
                <w:sz w:val="20"/>
                <w:szCs w:val="20"/>
              </w:rPr>
            </w:pPr>
            <w:r w:rsidRPr="00F5553F">
              <w:rPr>
                <w:sz w:val="20"/>
                <w:szCs w:val="20"/>
              </w:rPr>
              <w:t>Nil</w:t>
            </w:r>
            <w:r w:rsidR="001564A4" w:rsidRPr="00F5553F">
              <w:rPr>
                <w:sz w:val="20"/>
                <w:szCs w:val="20"/>
              </w:rPr>
              <w:br/>
            </w:r>
            <w:r w:rsidR="001564A4" w:rsidRPr="00F5553F">
              <w:rPr>
                <w:sz w:val="20"/>
                <w:szCs w:val="20"/>
              </w:rPr>
              <w:br/>
            </w:r>
            <w:r w:rsidR="001564A4" w:rsidRPr="00F5553F">
              <w:rPr>
                <w:sz w:val="20"/>
                <w:szCs w:val="20"/>
              </w:rPr>
              <w:br/>
            </w:r>
            <w:r w:rsidR="001564A4" w:rsidRPr="00F5553F">
              <w:rPr>
                <w:sz w:val="20"/>
                <w:szCs w:val="20"/>
              </w:rPr>
              <w:br/>
            </w:r>
            <w:r w:rsidR="001564A4" w:rsidRPr="00F5553F">
              <w:rPr>
                <w:sz w:val="20"/>
                <w:szCs w:val="20"/>
              </w:rPr>
              <w:br/>
            </w:r>
            <w:r w:rsidR="001564A4" w:rsidRPr="00F5553F">
              <w:rPr>
                <w:sz w:val="20"/>
                <w:szCs w:val="20"/>
              </w:rPr>
              <w:br/>
            </w:r>
            <w:r w:rsidR="001564A4" w:rsidRPr="00F5553F">
              <w:rPr>
                <w:sz w:val="20"/>
                <w:szCs w:val="20"/>
              </w:rPr>
              <w:br/>
            </w:r>
            <w:r w:rsidR="001564A4" w:rsidRPr="00F5553F">
              <w:rPr>
                <w:sz w:val="20"/>
                <w:szCs w:val="20"/>
              </w:rPr>
              <w:br/>
            </w:r>
            <w:r w:rsidR="001564A4" w:rsidRPr="00F5553F">
              <w:rPr>
                <w:sz w:val="20"/>
                <w:szCs w:val="20"/>
              </w:rPr>
              <w:br/>
            </w:r>
            <w:r w:rsidR="001564A4" w:rsidRPr="00F5553F">
              <w:rPr>
                <w:sz w:val="20"/>
                <w:szCs w:val="20"/>
              </w:rPr>
              <w:br/>
            </w:r>
            <w:r w:rsidR="001564A4" w:rsidRPr="00F5553F">
              <w:rPr>
                <w:sz w:val="20"/>
                <w:szCs w:val="20"/>
              </w:rPr>
              <w:br/>
            </w:r>
          </w:p>
          <w:p w14:paraId="731CD908" w14:textId="77777777" w:rsidR="001564A4" w:rsidRPr="00F5553F" w:rsidRDefault="001564A4" w:rsidP="000A28E2">
            <w:pPr>
              <w:pStyle w:val="Default"/>
              <w:rPr>
                <w:sz w:val="20"/>
                <w:szCs w:val="20"/>
              </w:rPr>
            </w:pPr>
          </w:p>
          <w:p w14:paraId="34BF0A0F" w14:textId="77777777" w:rsidR="001564A4" w:rsidRPr="00F5553F" w:rsidRDefault="001564A4" w:rsidP="000A28E2">
            <w:pPr>
              <w:pStyle w:val="Default"/>
              <w:rPr>
                <w:sz w:val="20"/>
                <w:szCs w:val="20"/>
              </w:rPr>
            </w:pPr>
          </w:p>
          <w:p w14:paraId="1FF1A88F" w14:textId="77777777" w:rsidR="001564A4" w:rsidRPr="00F5553F" w:rsidRDefault="001564A4" w:rsidP="000A28E2">
            <w:pPr>
              <w:pStyle w:val="Pa12"/>
              <w:rPr>
                <w:rStyle w:val="A4"/>
                <w:bCs/>
                <w:sz w:val="20"/>
                <w:szCs w:val="20"/>
              </w:rPr>
            </w:pPr>
            <w:r w:rsidRPr="00F5553F">
              <w:rPr>
                <w:rStyle w:val="A4"/>
                <w:bCs/>
                <w:sz w:val="20"/>
                <w:szCs w:val="20"/>
              </w:rPr>
              <w:br/>
            </w:r>
            <w:r w:rsidRPr="00F5553F">
              <w:rPr>
                <w:rStyle w:val="A4"/>
                <w:bCs/>
                <w:sz w:val="20"/>
                <w:szCs w:val="20"/>
              </w:rPr>
              <w:br/>
            </w:r>
            <w:r w:rsidRPr="00F5553F">
              <w:rPr>
                <w:rStyle w:val="A4"/>
                <w:bCs/>
                <w:sz w:val="20"/>
                <w:szCs w:val="20"/>
              </w:rPr>
              <w:br/>
            </w:r>
            <w:r w:rsidRPr="00F5553F">
              <w:rPr>
                <w:rStyle w:val="A4"/>
                <w:bCs/>
                <w:sz w:val="20"/>
                <w:szCs w:val="20"/>
              </w:rPr>
              <w:br/>
            </w:r>
            <w:r w:rsidRPr="00F5553F">
              <w:rPr>
                <w:rStyle w:val="A4"/>
                <w:bCs/>
                <w:sz w:val="20"/>
                <w:szCs w:val="20"/>
              </w:rPr>
              <w:br/>
            </w:r>
            <w:r w:rsidRPr="00F5553F">
              <w:rPr>
                <w:rStyle w:val="A4"/>
                <w:bCs/>
                <w:sz w:val="20"/>
                <w:szCs w:val="20"/>
              </w:rPr>
              <w:br/>
            </w:r>
            <w:r w:rsidRPr="00F5553F">
              <w:rPr>
                <w:rStyle w:val="A4"/>
                <w:bCs/>
                <w:sz w:val="20"/>
                <w:szCs w:val="20"/>
              </w:rPr>
              <w:br/>
            </w:r>
            <w:r w:rsidRPr="00F5553F">
              <w:rPr>
                <w:rStyle w:val="A4"/>
                <w:bCs/>
                <w:sz w:val="20"/>
                <w:szCs w:val="20"/>
              </w:rPr>
              <w:br/>
            </w:r>
            <w:r w:rsidRPr="00F5553F">
              <w:rPr>
                <w:rStyle w:val="A4"/>
                <w:bCs/>
                <w:sz w:val="20"/>
                <w:szCs w:val="20"/>
              </w:rPr>
              <w:br/>
            </w:r>
            <w:r w:rsidRPr="00F5553F">
              <w:rPr>
                <w:rStyle w:val="A4"/>
                <w:bCs/>
                <w:sz w:val="20"/>
                <w:szCs w:val="20"/>
              </w:rPr>
              <w:br/>
            </w:r>
            <w:r w:rsidRPr="00F5553F">
              <w:rPr>
                <w:rStyle w:val="A4"/>
                <w:bCs/>
                <w:sz w:val="20"/>
                <w:szCs w:val="20"/>
              </w:rPr>
              <w:br/>
            </w:r>
          </w:p>
          <w:p w14:paraId="14DC37E4" w14:textId="77777777" w:rsidR="001564A4" w:rsidRPr="00F5553F" w:rsidRDefault="001564A4" w:rsidP="000A28E2">
            <w:pPr>
              <w:pStyle w:val="Default"/>
              <w:rPr>
                <w:rStyle w:val="A4"/>
                <w:bCs/>
                <w:sz w:val="20"/>
                <w:szCs w:val="20"/>
              </w:rPr>
            </w:pPr>
          </w:p>
          <w:p w14:paraId="5F58D34F" w14:textId="77777777" w:rsidR="001564A4" w:rsidRPr="00F5553F" w:rsidRDefault="001564A4" w:rsidP="000A28E2">
            <w:pPr>
              <w:pStyle w:val="Default"/>
              <w:rPr>
                <w:sz w:val="20"/>
                <w:szCs w:val="20"/>
                <w:lang w:val="en-US" w:eastAsia="en-GB"/>
              </w:rPr>
            </w:pP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r w:rsidRPr="00F5553F">
              <w:rPr>
                <w:sz w:val="20"/>
                <w:szCs w:val="20"/>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87D96"/>
    <w:rsid w:val="0051574E"/>
    <w:rsid w:val="00633EC9"/>
    <w:rsid w:val="00734C96"/>
    <w:rsid w:val="008803FA"/>
    <w:rsid w:val="00AC1707"/>
    <w:rsid w:val="00B12E32"/>
    <w:rsid w:val="00E0700F"/>
    <w:rsid w:val="00F555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DefaultChar">
    <w:name w:val="Default Char"/>
    <w:basedOn w:val="DefaultParagraphFont"/>
    <w:link w:val="Default"/>
    <w:rsid w:val="00734C96"/>
    <w:rPr>
      <w:rFonts w:ascii="Arial" w:eastAsia="Times New Roman" w:hAnsi="Arial" w:cs="Arial"/>
      <w:color w:val="000000"/>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Louis Chhor</cp:lastModifiedBy>
  <cp:revision>4</cp:revision>
  <dcterms:created xsi:type="dcterms:W3CDTF">2023-10-15T06:16:00Z</dcterms:created>
  <dcterms:modified xsi:type="dcterms:W3CDTF">2023-10-15T10:15:00Z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