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C66CFE" w:rsidRDefault="009C374A" w:rsidP="00375B20">
      <w:pPr>
        <w:rPr>
          <w:rFonts w:ascii="Arial" w:hAnsi="Arial" w:cs="Arial"/>
          <w:b/>
          <w:bCs/>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C66CFE" w14:paraId="3CA33060" w14:textId="77777777" w:rsidTr="009F4EA0">
        <w:tc>
          <w:tcPr>
            <w:tcW w:w="8640" w:type="dxa"/>
            <w:shd w:val="clear" w:color="auto" w:fill="F2F2F2" w:themeFill="background1" w:themeFillShade="F2"/>
          </w:tcPr>
          <w:p w14:paraId="23A546B3" w14:textId="35831B26" w:rsidR="0054343A" w:rsidRPr="00965FD5" w:rsidRDefault="00965FD5" w:rsidP="00706DED">
            <w:pPr>
              <w:jc w:val="both"/>
              <w:rPr>
                <w:rFonts w:ascii="Arial" w:hAnsi="Arial" w:cs="Arial"/>
                <w:bCs/>
                <w:i/>
                <w:iCs/>
                <w:sz w:val="22"/>
                <w:szCs w:val="22"/>
              </w:rPr>
            </w:pPr>
            <w:r w:rsidRPr="00965FD5">
              <w:rPr>
                <w:rFonts w:ascii="Arial" w:hAnsi="Arial" w:cs="Arial"/>
                <w:bCs/>
                <w:i/>
                <w:iCs/>
                <w:sz w:val="22"/>
                <w:szCs w:val="22"/>
              </w:rPr>
              <w:t>Paper</w:t>
            </w:r>
          </w:p>
          <w:p w14:paraId="16977393" w14:textId="01B556AD" w:rsidR="0054343A" w:rsidRPr="00C66CFE" w:rsidRDefault="00C66CFE" w:rsidP="00C66CFE">
            <w:pPr>
              <w:rPr>
                <w:rFonts w:ascii="Arial" w:hAnsi="Arial" w:cs="Arial"/>
                <w:b/>
                <w:bCs/>
                <w:sz w:val="22"/>
                <w:szCs w:val="22"/>
              </w:rPr>
            </w:pPr>
            <w:r w:rsidRPr="00C66CFE">
              <w:rPr>
                <w:rFonts w:ascii="Arial" w:hAnsi="Arial" w:cs="Arial"/>
                <w:b/>
                <w:bCs/>
                <w:sz w:val="22"/>
                <w:szCs w:val="22"/>
              </w:rPr>
              <w:t>Climate Adaptation as a Complex Team Project: Governance, Framing, and Decision-Making</w:t>
            </w:r>
          </w:p>
          <w:p w14:paraId="3F7D1534" w14:textId="77777777" w:rsidR="00C8423A" w:rsidRPr="00C66CFE" w:rsidRDefault="00C8423A" w:rsidP="0065012F">
            <w:pPr>
              <w:tabs>
                <w:tab w:val="left" w:pos="3386"/>
              </w:tabs>
              <w:jc w:val="both"/>
              <w:rPr>
                <w:rFonts w:ascii="Arial" w:hAnsi="Arial" w:cs="Arial"/>
                <w:b/>
                <w:bCs/>
                <w:sz w:val="22"/>
                <w:szCs w:val="22"/>
              </w:rPr>
            </w:pPr>
          </w:p>
        </w:tc>
      </w:tr>
      <w:tr w:rsidR="00C8423A" w:rsidRPr="00C66CFE" w14:paraId="1A1C8C63" w14:textId="77777777" w:rsidTr="009F4EA0">
        <w:trPr>
          <w:trHeight w:val="3124"/>
        </w:trPr>
        <w:tc>
          <w:tcPr>
            <w:tcW w:w="8640" w:type="dxa"/>
          </w:tcPr>
          <w:p w14:paraId="4E63D531" w14:textId="77777777" w:rsidR="00C66CFE" w:rsidRPr="00C66CFE" w:rsidRDefault="0065012F" w:rsidP="00C66CFE">
            <w:pPr>
              <w:jc w:val="both"/>
              <w:rPr>
                <w:rFonts w:ascii="Arial" w:hAnsi="Arial" w:cs="Arial"/>
                <w:b/>
                <w:sz w:val="22"/>
                <w:szCs w:val="22"/>
              </w:rPr>
            </w:pPr>
            <w:r w:rsidRPr="00C66CFE">
              <w:rPr>
                <w:rFonts w:ascii="Arial" w:hAnsi="Arial" w:cs="Arial"/>
                <w:b/>
                <w:sz w:val="22"/>
                <w:szCs w:val="22"/>
              </w:rPr>
              <w:t>Introduction</w:t>
            </w:r>
          </w:p>
          <w:p w14:paraId="4806BFDB" w14:textId="271E3F01" w:rsidR="0065012F" w:rsidRPr="00C66CFE" w:rsidRDefault="00C66CFE" w:rsidP="00C66CFE">
            <w:pPr>
              <w:jc w:val="both"/>
              <w:rPr>
                <w:rFonts w:ascii="Arial" w:hAnsi="Arial" w:cs="Arial"/>
                <w:b/>
                <w:sz w:val="22"/>
                <w:szCs w:val="22"/>
              </w:rPr>
            </w:pPr>
            <w:r w:rsidRPr="00C66CFE">
              <w:rPr>
                <w:rFonts w:ascii="Arial" w:hAnsi="Arial" w:cs="Arial"/>
                <w:color w:val="000000"/>
                <w:sz w:val="22"/>
                <w:szCs w:val="22"/>
              </w:rPr>
              <w:t xml:space="preserve">Climate adaptation is widely recognised as a "wicked problem"—it’s complex, multi-layered, and doesn’t have a single clear solution. In Aotearoa New Zealand, the way governance structures and institutions frame the problem is making things even harder. Instead of supporting action, these structures often create more barriers, leading to slow or stalled decision-making (Young, 2004). This presentation explores how governance arrangements, unclear responsibilities, and different ways of framing the issue are contributing to this inertia. Given the importance of effective communication in adaptation, this research connects to broader discussions on how governance, framing, and collaboration shape what </w:t>
            </w:r>
            <w:proofErr w:type="gramStart"/>
            <w:r w:rsidRPr="00C66CFE">
              <w:rPr>
                <w:rFonts w:ascii="Arial" w:hAnsi="Arial" w:cs="Arial"/>
                <w:color w:val="000000"/>
                <w:sz w:val="22"/>
                <w:szCs w:val="22"/>
              </w:rPr>
              <w:t>actually gets</w:t>
            </w:r>
            <w:proofErr w:type="gramEnd"/>
            <w:r w:rsidRPr="00C66CFE">
              <w:rPr>
                <w:rFonts w:ascii="Arial" w:hAnsi="Arial" w:cs="Arial"/>
                <w:color w:val="000000"/>
                <w:sz w:val="22"/>
                <w:szCs w:val="22"/>
              </w:rPr>
              <w:t xml:space="preserve"> done (Bednarek et al., 2018; Lawrence et al., 2021).</w:t>
            </w:r>
          </w:p>
          <w:p w14:paraId="1B5BFB27" w14:textId="77777777" w:rsidR="00C66CFE" w:rsidRPr="00C66CFE" w:rsidRDefault="00C66CFE" w:rsidP="00706DED">
            <w:pPr>
              <w:jc w:val="both"/>
              <w:rPr>
                <w:rFonts w:ascii="Arial" w:hAnsi="Arial" w:cs="Arial"/>
                <w:b/>
                <w:sz w:val="22"/>
                <w:szCs w:val="22"/>
              </w:rPr>
            </w:pPr>
          </w:p>
          <w:p w14:paraId="5DE13B32" w14:textId="66F68BBF" w:rsidR="0065012F" w:rsidRPr="00C66CFE" w:rsidRDefault="0065012F" w:rsidP="00706DED">
            <w:pPr>
              <w:jc w:val="both"/>
              <w:rPr>
                <w:rFonts w:ascii="Arial" w:hAnsi="Arial" w:cs="Arial"/>
                <w:b/>
                <w:sz w:val="22"/>
                <w:szCs w:val="22"/>
              </w:rPr>
            </w:pPr>
            <w:r w:rsidRPr="00C66CFE">
              <w:rPr>
                <w:rFonts w:ascii="Arial" w:hAnsi="Arial" w:cs="Arial"/>
                <w:b/>
                <w:sz w:val="22"/>
                <w:szCs w:val="22"/>
              </w:rPr>
              <w:t>Objectives</w:t>
            </w:r>
          </w:p>
          <w:p w14:paraId="79376724" w14:textId="77777777" w:rsidR="00C66CFE" w:rsidRPr="00C66CFE" w:rsidRDefault="00C66CFE" w:rsidP="00C66CFE">
            <w:pPr>
              <w:pStyle w:val="NormalWeb"/>
              <w:numPr>
                <w:ilvl w:val="0"/>
                <w:numId w:val="7"/>
              </w:numPr>
              <w:rPr>
                <w:rFonts w:ascii="Arial" w:hAnsi="Arial" w:cs="Arial"/>
                <w:color w:val="000000"/>
                <w:sz w:val="22"/>
                <w:szCs w:val="22"/>
              </w:rPr>
            </w:pPr>
            <w:r w:rsidRPr="00C66CFE">
              <w:rPr>
                <w:rFonts w:ascii="Arial" w:hAnsi="Arial" w:cs="Arial"/>
                <w:color w:val="000000"/>
                <w:sz w:val="22"/>
                <w:szCs w:val="22"/>
              </w:rPr>
              <w:t>To explore how governance structures in New Zealand shape adaptation challenges.</w:t>
            </w:r>
          </w:p>
          <w:p w14:paraId="5D7CBB26" w14:textId="77777777" w:rsidR="00C66CFE" w:rsidRPr="00C66CFE" w:rsidRDefault="00C66CFE" w:rsidP="00C66CFE">
            <w:pPr>
              <w:pStyle w:val="NormalWeb"/>
              <w:numPr>
                <w:ilvl w:val="0"/>
                <w:numId w:val="7"/>
              </w:numPr>
              <w:rPr>
                <w:rFonts w:ascii="Arial" w:hAnsi="Arial" w:cs="Arial"/>
                <w:color w:val="000000"/>
                <w:sz w:val="22"/>
                <w:szCs w:val="22"/>
              </w:rPr>
            </w:pPr>
            <w:r w:rsidRPr="00C66CFE">
              <w:rPr>
                <w:rFonts w:ascii="Arial" w:hAnsi="Arial" w:cs="Arial"/>
                <w:color w:val="000000"/>
                <w:sz w:val="22"/>
                <w:szCs w:val="22"/>
              </w:rPr>
              <w:t>To examine how different problem framings add complexity to decision-making (Stirling, 2010; Manning et al., 2014).</w:t>
            </w:r>
          </w:p>
          <w:p w14:paraId="15249060" w14:textId="77777777" w:rsidR="00C66CFE" w:rsidRPr="00C66CFE" w:rsidRDefault="00C66CFE" w:rsidP="00C66CFE">
            <w:pPr>
              <w:pStyle w:val="NormalWeb"/>
              <w:numPr>
                <w:ilvl w:val="0"/>
                <w:numId w:val="7"/>
              </w:numPr>
              <w:rPr>
                <w:rFonts w:ascii="Arial" w:hAnsi="Arial" w:cs="Arial"/>
                <w:color w:val="000000"/>
                <w:sz w:val="22"/>
                <w:szCs w:val="22"/>
              </w:rPr>
            </w:pPr>
            <w:r w:rsidRPr="00C66CFE">
              <w:rPr>
                <w:rFonts w:ascii="Arial" w:hAnsi="Arial" w:cs="Arial"/>
                <w:color w:val="000000"/>
                <w:sz w:val="22"/>
                <w:szCs w:val="22"/>
              </w:rPr>
              <w:t>To reflect on insights from adaptation professionals about governance gaps and decision paralysis.</w:t>
            </w:r>
          </w:p>
          <w:p w14:paraId="7DF7D437" w14:textId="79CD96C2" w:rsidR="0065012F" w:rsidRPr="00C66CFE" w:rsidRDefault="00C66CFE" w:rsidP="00C66CFE">
            <w:pPr>
              <w:pStyle w:val="NormalWeb"/>
              <w:numPr>
                <w:ilvl w:val="0"/>
                <w:numId w:val="7"/>
              </w:numPr>
              <w:rPr>
                <w:rFonts w:ascii="Arial" w:hAnsi="Arial" w:cs="Arial"/>
                <w:color w:val="000000"/>
                <w:sz w:val="22"/>
                <w:szCs w:val="22"/>
              </w:rPr>
            </w:pPr>
            <w:r w:rsidRPr="00C66CFE">
              <w:rPr>
                <w:rFonts w:ascii="Arial" w:hAnsi="Arial" w:cs="Arial"/>
                <w:color w:val="000000"/>
                <w:sz w:val="22"/>
                <w:szCs w:val="22"/>
              </w:rPr>
              <w:t>To consider how better communication and knowledge-sharing could help address these barriers (</w:t>
            </w:r>
            <w:proofErr w:type="spellStart"/>
            <w:r w:rsidRPr="00C66CFE">
              <w:rPr>
                <w:rFonts w:ascii="Arial" w:hAnsi="Arial" w:cs="Arial"/>
                <w:color w:val="000000"/>
                <w:sz w:val="22"/>
                <w:szCs w:val="22"/>
              </w:rPr>
              <w:t>Funtowicz</w:t>
            </w:r>
            <w:proofErr w:type="spellEnd"/>
            <w:r w:rsidRPr="00C66CFE">
              <w:rPr>
                <w:rFonts w:ascii="Arial" w:hAnsi="Arial" w:cs="Arial"/>
                <w:color w:val="000000"/>
                <w:sz w:val="22"/>
                <w:szCs w:val="22"/>
              </w:rPr>
              <w:t xml:space="preserve"> &amp; </w:t>
            </w:r>
            <w:proofErr w:type="spellStart"/>
            <w:r w:rsidRPr="00C66CFE">
              <w:rPr>
                <w:rFonts w:ascii="Arial" w:hAnsi="Arial" w:cs="Arial"/>
                <w:color w:val="000000"/>
                <w:sz w:val="22"/>
                <w:szCs w:val="22"/>
              </w:rPr>
              <w:t>Ravetz</w:t>
            </w:r>
            <w:proofErr w:type="spellEnd"/>
            <w:r w:rsidRPr="00C66CFE">
              <w:rPr>
                <w:rFonts w:ascii="Arial" w:hAnsi="Arial" w:cs="Arial"/>
                <w:color w:val="000000"/>
                <w:sz w:val="22"/>
                <w:szCs w:val="22"/>
              </w:rPr>
              <w:t>, 1993; Moser &amp; Ekstrom, 2010).</w:t>
            </w:r>
          </w:p>
          <w:p w14:paraId="457D2D05" w14:textId="4552866C" w:rsidR="0065012F" w:rsidRPr="00C66CFE" w:rsidRDefault="00906B39" w:rsidP="00706DED">
            <w:pPr>
              <w:jc w:val="both"/>
              <w:rPr>
                <w:rFonts w:ascii="Arial" w:hAnsi="Arial" w:cs="Arial"/>
                <w:b/>
                <w:sz w:val="22"/>
                <w:szCs w:val="22"/>
              </w:rPr>
            </w:pPr>
            <w:r w:rsidRPr="00C66CFE">
              <w:rPr>
                <w:rFonts w:ascii="Arial" w:hAnsi="Arial" w:cs="Arial"/>
                <w:b/>
                <w:sz w:val="22"/>
                <w:szCs w:val="22"/>
              </w:rPr>
              <w:t>Methodology</w:t>
            </w:r>
          </w:p>
          <w:p w14:paraId="1458AC96" w14:textId="77777777" w:rsidR="00C66CFE" w:rsidRDefault="00C66CFE" w:rsidP="00C66CFE">
            <w:pPr>
              <w:rPr>
                <w:rFonts w:ascii="Arial" w:hAnsi="Arial" w:cs="Arial"/>
                <w:bCs/>
                <w:sz w:val="22"/>
                <w:szCs w:val="22"/>
              </w:rPr>
            </w:pPr>
            <w:r w:rsidRPr="00C66CFE">
              <w:rPr>
                <w:rFonts w:ascii="Arial" w:hAnsi="Arial" w:cs="Arial"/>
                <w:bCs/>
                <w:sz w:val="22"/>
                <w:szCs w:val="22"/>
              </w:rPr>
              <w:t xml:space="preserve">This research is based on qualitative interviews with adaptation professionals from government, consultancy, and community sectors. A thematic analysis was used to identify governance challenges and problem-framing issues within New Zealand’s adaptation landscape. </w:t>
            </w:r>
          </w:p>
          <w:p w14:paraId="5651F0AC" w14:textId="1F337693" w:rsidR="0039799D" w:rsidRPr="00C66CFE" w:rsidRDefault="00C66CFE" w:rsidP="00C66CFE">
            <w:pPr>
              <w:rPr>
                <w:rFonts w:ascii="Arial" w:hAnsi="Arial" w:cs="Arial"/>
                <w:bCs/>
                <w:sz w:val="22"/>
                <w:szCs w:val="22"/>
              </w:rPr>
            </w:pPr>
            <w:r w:rsidRPr="00C66CFE">
              <w:rPr>
                <w:rFonts w:ascii="Arial" w:hAnsi="Arial" w:cs="Arial"/>
                <w:bCs/>
                <w:sz w:val="22"/>
                <w:szCs w:val="22"/>
              </w:rPr>
              <w:t>Key themes emerged around decision-making authority, tensions between statutory and non-statutory responsibilities, and professional misalignment in adaptation efforts. The study also draws on Kuhn’s (2012) framework of paradigm shifts to explore how entrenched perspectives influence institutional responses to adaptation challenges.</w:t>
            </w:r>
          </w:p>
          <w:p w14:paraId="0824B4CD" w14:textId="77777777" w:rsidR="0039799D" w:rsidRPr="00C66CFE" w:rsidRDefault="0039799D" w:rsidP="00706DED">
            <w:pPr>
              <w:jc w:val="both"/>
              <w:rPr>
                <w:rFonts w:ascii="Arial" w:hAnsi="Arial" w:cs="Arial"/>
                <w:b/>
                <w:sz w:val="22"/>
                <w:szCs w:val="22"/>
              </w:rPr>
            </w:pPr>
          </w:p>
          <w:p w14:paraId="62DAA8AE" w14:textId="578817CD" w:rsidR="0065012F" w:rsidRPr="00C66CFE" w:rsidRDefault="0065012F" w:rsidP="00706DED">
            <w:pPr>
              <w:jc w:val="both"/>
              <w:rPr>
                <w:rFonts w:ascii="Arial" w:hAnsi="Arial" w:cs="Arial"/>
                <w:b/>
                <w:sz w:val="22"/>
                <w:szCs w:val="22"/>
              </w:rPr>
            </w:pPr>
            <w:r w:rsidRPr="00C66CFE">
              <w:rPr>
                <w:rFonts w:ascii="Arial" w:hAnsi="Arial" w:cs="Arial"/>
                <w:b/>
                <w:sz w:val="22"/>
                <w:szCs w:val="22"/>
              </w:rPr>
              <w:t>Findings</w:t>
            </w:r>
            <w:r w:rsidR="00B75CD3">
              <w:rPr>
                <w:rFonts w:ascii="Arial" w:hAnsi="Arial" w:cs="Arial"/>
                <w:b/>
                <w:sz w:val="22"/>
                <w:szCs w:val="22"/>
              </w:rPr>
              <w:br/>
            </w:r>
          </w:p>
          <w:p w14:paraId="52F468D1" w14:textId="77777777" w:rsidR="00C66CFE" w:rsidRPr="00C66CFE" w:rsidRDefault="00C66CFE" w:rsidP="00C66CFE">
            <w:pPr>
              <w:pStyle w:val="ListParagraph"/>
              <w:numPr>
                <w:ilvl w:val="0"/>
                <w:numId w:val="6"/>
              </w:numPr>
              <w:rPr>
                <w:rFonts w:ascii="Arial" w:hAnsi="Arial" w:cs="Arial"/>
                <w:sz w:val="22"/>
                <w:szCs w:val="22"/>
              </w:rPr>
            </w:pPr>
            <w:r w:rsidRPr="00C66CFE">
              <w:rPr>
                <w:rFonts w:ascii="Arial" w:hAnsi="Arial" w:cs="Arial"/>
                <w:sz w:val="22"/>
                <w:szCs w:val="22"/>
              </w:rPr>
              <w:t>Interviewees identified unclear authority and governance structures as key barriers to adaptation progress, aligning with existing literature on institutional fit (Young, 2004; Lawrence et al., 2021).</w:t>
            </w:r>
          </w:p>
          <w:p w14:paraId="0565ECF3" w14:textId="77777777" w:rsidR="00C66CFE" w:rsidRPr="00C66CFE" w:rsidRDefault="00C66CFE" w:rsidP="00C66CFE">
            <w:pPr>
              <w:pStyle w:val="ListParagraph"/>
              <w:numPr>
                <w:ilvl w:val="0"/>
                <w:numId w:val="6"/>
              </w:numPr>
              <w:rPr>
                <w:rFonts w:ascii="Arial" w:hAnsi="Arial" w:cs="Arial"/>
                <w:sz w:val="22"/>
                <w:szCs w:val="22"/>
              </w:rPr>
            </w:pPr>
            <w:r w:rsidRPr="00C66CFE">
              <w:rPr>
                <w:rFonts w:ascii="Arial" w:hAnsi="Arial" w:cs="Arial"/>
                <w:sz w:val="22"/>
                <w:szCs w:val="22"/>
              </w:rPr>
              <w:t>The way adaptation problems are framed determines the types of solutions considered, reflecting findings from previous studies on science-policy interactions (Bednarek et al., 2018; Boykoff et al., 2014).</w:t>
            </w:r>
          </w:p>
          <w:p w14:paraId="323FE3A5" w14:textId="77777777" w:rsidR="00C66CFE" w:rsidRPr="00C66CFE" w:rsidRDefault="00C66CFE" w:rsidP="00C66CFE">
            <w:pPr>
              <w:pStyle w:val="ListParagraph"/>
              <w:numPr>
                <w:ilvl w:val="0"/>
                <w:numId w:val="6"/>
              </w:numPr>
              <w:rPr>
                <w:rFonts w:ascii="Arial" w:hAnsi="Arial" w:cs="Arial"/>
                <w:sz w:val="22"/>
                <w:szCs w:val="22"/>
              </w:rPr>
            </w:pPr>
            <w:r w:rsidRPr="00C66CFE">
              <w:rPr>
                <w:rFonts w:ascii="Arial" w:hAnsi="Arial" w:cs="Arial"/>
                <w:sz w:val="22"/>
                <w:szCs w:val="22"/>
              </w:rPr>
              <w:t>Many professionals reported that collaboration is often hindered by misaligned priorities and professional silos, reinforcing observations from governance and adaptation research (</w:t>
            </w:r>
            <w:proofErr w:type="spellStart"/>
            <w:r w:rsidRPr="00C66CFE">
              <w:rPr>
                <w:rFonts w:ascii="Arial" w:hAnsi="Arial" w:cs="Arial"/>
                <w:sz w:val="22"/>
                <w:szCs w:val="22"/>
              </w:rPr>
              <w:t>Funtowicz</w:t>
            </w:r>
            <w:proofErr w:type="spellEnd"/>
            <w:r w:rsidRPr="00C66CFE">
              <w:rPr>
                <w:rFonts w:ascii="Arial" w:hAnsi="Arial" w:cs="Arial"/>
                <w:sz w:val="22"/>
                <w:szCs w:val="22"/>
              </w:rPr>
              <w:t xml:space="preserve"> &amp; </w:t>
            </w:r>
            <w:proofErr w:type="spellStart"/>
            <w:r w:rsidRPr="00C66CFE">
              <w:rPr>
                <w:rFonts w:ascii="Arial" w:hAnsi="Arial" w:cs="Arial"/>
                <w:sz w:val="22"/>
                <w:szCs w:val="22"/>
              </w:rPr>
              <w:t>Ravetz</w:t>
            </w:r>
            <w:proofErr w:type="spellEnd"/>
            <w:r w:rsidRPr="00C66CFE">
              <w:rPr>
                <w:rFonts w:ascii="Arial" w:hAnsi="Arial" w:cs="Arial"/>
                <w:sz w:val="22"/>
                <w:szCs w:val="22"/>
              </w:rPr>
              <w:t>, 1993; Manning et al., 2014).</w:t>
            </w:r>
          </w:p>
          <w:p w14:paraId="580D01B7" w14:textId="77777777" w:rsidR="00C66CFE" w:rsidRPr="00C66CFE" w:rsidRDefault="00C66CFE" w:rsidP="00C66CFE">
            <w:pPr>
              <w:pStyle w:val="ListParagraph"/>
              <w:numPr>
                <w:ilvl w:val="0"/>
                <w:numId w:val="6"/>
              </w:numPr>
              <w:rPr>
                <w:rFonts w:ascii="Arial" w:hAnsi="Arial" w:cs="Arial"/>
                <w:sz w:val="22"/>
                <w:szCs w:val="22"/>
              </w:rPr>
            </w:pPr>
            <w:r w:rsidRPr="00C66CFE">
              <w:rPr>
                <w:rFonts w:ascii="Arial" w:hAnsi="Arial" w:cs="Arial"/>
                <w:sz w:val="22"/>
                <w:szCs w:val="22"/>
              </w:rPr>
              <w:lastRenderedPageBreak/>
              <w:t xml:space="preserve">Participants frequently compared adaptation planning to a high-stakes team project, where expertise is </w:t>
            </w:r>
            <w:proofErr w:type="gramStart"/>
            <w:r w:rsidRPr="00C66CFE">
              <w:rPr>
                <w:rFonts w:ascii="Arial" w:hAnsi="Arial" w:cs="Arial"/>
                <w:sz w:val="22"/>
                <w:szCs w:val="22"/>
              </w:rPr>
              <w:t>available</w:t>
            </w:r>
            <w:proofErr w:type="gramEnd"/>
            <w:r w:rsidRPr="00C66CFE">
              <w:rPr>
                <w:rFonts w:ascii="Arial" w:hAnsi="Arial" w:cs="Arial"/>
                <w:sz w:val="22"/>
                <w:szCs w:val="22"/>
              </w:rPr>
              <w:t xml:space="preserve"> but coordination and accountability are lacking, a challenge also noted in broader risk governance discussions (Stirling, 2010; Moser &amp; Ekstrom, 2010).</w:t>
            </w:r>
          </w:p>
          <w:p w14:paraId="1915DA01" w14:textId="630CDFCB" w:rsidR="0039799D" w:rsidRPr="00C66CFE" w:rsidRDefault="00C66CFE" w:rsidP="00C66CFE">
            <w:pPr>
              <w:pStyle w:val="ListParagraph"/>
              <w:numPr>
                <w:ilvl w:val="0"/>
                <w:numId w:val="6"/>
              </w:numPr>
              <w:rPr>
                <w:rFonts w:ascii="Arial" w:hAnsi="Arial" w:cs="Arial"/>
                <w:sz w:val="22"/>
                <w:szCs w:val="22"/>
                <w:lang w:eastAsia="en-GB"/>
              </w:rPr>
            </w:pPr>
            <w:r w:rsidRPr="00C66CFE">
              <w:rPr>
                <w:rFonts w:ascii="Arial" w:hAnsi="Arial" w:cs="Arial"/>
                <w:sz w:val="22"/>
                <w:szCs w:val="22"/>
              </w:rPr>
              <w:t>The communication and framing of adaptation issues were found to play a major role in whether action is enabled or inertia is reinforced, a theme consistent with previous studies on adaptation and decision-making (Moser &amp; Ekstrom, 2010).</w:t>
            </w:r>
          </w:p>
          <w:p w14:paraId="26DC99F1" w14:textId="77777777" w:rsidR="0065012F" w:rsidRPr="00C66CFE" w:rsidRDefault="0065012F" w:rsidP="00706DED">
            <w:pPr>
              <w:jc w:val="both"/>
              <w:rPr>
                <w:rFonts w:ascii="Arial" w:hAnsi="Arial" w:cs="Arial"/>
                <w:b/>
                <w:sz w:val="22"/>
                <w:szCs w:val="22"/>
              </w:rPr>
            </w:pPr>
          </w:p>
          <w:p w14:paraId="5025546A" w14:textId="3DA87CE5" w:rsidR="0039799D" w:rsidRPr="00C66CFE" w:rsidRDefault="0065012F" w:rsidP="00706DED">
            <w:pPr>
              <w:jc w:val="both"/>
              <w:rPr>
                <w:rFonts w:ascii="Arial" w:hAnsi="Arial" w:cs="Arial"/>
                <w:b/>
                <w:sz w:val="22"/>
                <w:szCs w:val="22"/>
              </w:rPr>
            </w:pPr>
            <w:r w:rsidRPr="00C66CFE">
              <w:rPr>
                <w:rFonts w:ascii="Arial" w:hAnsi="Arial" w:cs="Arial"/>
                <w:b/>
                <w:sz w:val="22"/>
                <w:szCs w:val="22"/>
              </w:rPr>
              <w:t xml:space="preserve">Significance of the work for policy and practice </w:t>
            </w:r>
          </w:p>
          <w:p w14:paraId="43CB2428" w14:textId="10663FC1" w:rsidR="00BE58D6" w:rsidRPr="00C66CFE" w:rsidRDefault="00C66CFE" w:rsidP="00C66CFE">
            <w:pPr>
              <w:rPr>
                <w:rFonts w:ascii="Arial" w:hAnsi="Arial" w:cs="Arial"/>
                <w:sz w:val="22"/>
                <w:szCs w:val="22"/>
              </w:rPr>
            </w:pPr>
            <w:r w:rsidRPr="00C66CFE">
              <w:rPr>
                <w:rFonts w:ascii="Arial" w:hAnsi="Arial" w:cs="Arial"/>
                <w:sz w:val="22"/>
                <w:szCs w:val="22"/>
              </w:rPr>
              <w:t>This research highlights some of the governance and policy challenges that influence climate adaptation efforts. By looking at how problem framing shapes decision-making, it contributes to ongoing discussions on how governance structures might need to evolve. While no single fix will resolve these issues, understanding the dynamics at play may help inform strategies for improving collaboration and making adaptation planning more effective (Kuhn, 2012). A stronger focus on communication and framing could also help build more shared understanding and align stakeholders toward clearer goals. These findings provide a starting point for deeper conversations on how governance and communication strategies can be improved to meet the challenges of climate adaptation.</w:t>
            </w:r>
          </w:p>
          <w:p w14:paraId="2CBAECD6" w14:textId="729DADBB" w:rsidR="009F4EA0" w:rsidRPr="00C66CFE" w:rsidRDefault="009F4EA0" w:rsidP="00706DED">
            <w:pPr>
              <w:jc w:val="both"/>
              <w:rPr>
                <w:rFonts w:ascii="Arial" w:hAnsi="Arial" w:cs="Arial"/>
                <w:b/>
                <w:sz w:val="22"/>
                <w:szCs w:val="22"/>
              </w:rPr>
            </w:pPr>
          </w:p>
        </w:tc>
      </w:tr>
    </w:tbl>
    <w:p w14:paraId="14FC3BE1" w14:textId="1ED2D544" w:rsidR="00C8423A" w:rsidRPr="00C66CFE" w:rsidRDefault="00C8423A" w:rsidP="00375B20">
      <w:pPr>
        <w:tabs>
          <w:tab w:val="left" w:pos="8931"/>
        </w:tabs>
        <w:rPr>
          <w:rFonts w:ascii="Arial" w:hAnsi="Arial" w:cs="Arial"/>
          <w:sz w:val="22"/>
          <w:szCs w:val="22"/>
        </w:rPr>
      </w:pPr>
    </w:p>
    <w:p w14:paraId="64514AC3" w14:textId="77777777" w:rsidR="00C66CFE" w:rsidRPr="00C66CFE" w:rsidRDefault="00C66CFE" w:rsidP="00C66CFE">
      <w:pPr>
        <w:rPr>
          <w:rFonts w:ascii="Arial" w:hAnsi="Arial" w:cs="Arial"/>
          <w:sz w:val="22"/>
          <w:szCs w:val="22"/>
          <w:lang w:val="en-NZ"/>
        </w:rPr>
      </w:pPr>
      <w:r w:rsidRPr="00C66CFE">
        <w:rPr>
          <w:rFonts w:ascii="Arial" w:hAnsi="Arial" w:cs="Arial"/>
          <w:b/>
          <w:bCs/>
          <w:sz w:val="22"/>
          <w:szCs w:val="22"/>
          <w:lang w:val="en-NZ"/>
        </w:rPr>
        <w:t>References</w:t>
      </w:r>
    </w:p>
    <w:p w14:paraId="1DADFCEC" w14:textId="77777777" w:rsidR="00C66CFE" w:rsidRPr="00C66CFE" w:rsidRDefault="00C66CFE" w:rsidP="00C66CFE">
      <w:pPr>
        <w:numPr>
          <w:ilvl w:val="0"/>
          <w:numId w:val="4"/>
        </w:numPr>
        <w:rPr>
          <w:rFonts w:ascii="Arial" w:hAnsi="Arial" w:cs="Arial"/>
          <w:sz w:val="22"/>
          <w:szCs w:val="22"/>
          <w:lang w:val="en-NZ"/>
        </w:rPr>
      </w:pPr>
      <w:r w:rsidRPr="00C66CFE">
        <w:rPr>
          <w:rFonts w:ascii="Arial" w:hAnsi="Arial" w:cs="Arial"/>
          <w:sz w:val="22"/>
          <w:szCs w:val="22"/>
          <w:lang w:val="en-NZ"/>
        </w:rPr>
        <w:t xml:space="preserve">Bednarek, A.T., </w:t>
      </w:r>
      <w:proofErr w:type="spellStart"/>
      <w:r w:rsidRPr="00C66CFE">
        <w:rPr>
          <w:rFonts w:ascii="Arial" w:hAnsi="Arial" w:cs="Arial"/>
          <w:sz w:val="22"/>
          <w:szCs w:val="22"/>
          <w:lang w:val="en-NZ"/>
        </w:rPr>
        <w:t>Wyborn</w:t>
      </w:r>
      <w:proofErr w:type="spellEnd"/>
      <w:r w:rsidRPr="00C66CFE">
        <w:rPr>
          <w:rFonts w:ascii="Arial" w:hAnsi="Arial" w:cs="Arial"/>
          <w:sz w:val="22"/>
          <w:szCs w:val="22"/>
          <w:lang w:val="en-NZ"/>
        </w:rPr>
        <w:t xml:space="preserve">, C., </w:t>
      </w:r>
      <w:proofErr w:type="spellStart"/>
      <w:r w:rsidRPr="00C66CFE">
        <w:rPr>
          <w:rFonts w:ascii="Arial" w:hAnsi="Arial" w:cs="Arial"/>
          <w:sz w:val="22"/>
          <w:szCs w:val="22"/>
          <w:lang w:val="en-NZ"/>
        </w:rPr>
        <w:t>Cvitanovic</w:t>
      </w:r>
      <w:proofErr w:type="spellEnd"/>
      <w:r w:rsidRPr="00C66CFE">
        <w:rPr>
          <w:rFonts w:ascii="Arial" w:hAnsi="Arial" w:cs="Arial"/>
          <w:sz w:val="22"/>
          <w:szCs w:val="22"/>
          <w:lang w:val="en-NZ"/>
        </w:rPr>
        <w:t>, C. et al. (2018). Boundary spanning at the science–policy interface: the practitioners’ perspectives. </w:t>
      </w:r>
      <w:r w:rsidRPr="00C66CFE">
        <w:rPr>
          <w:rFonts w:ascii="Arial" w:hAnsi="Arial" w:cs="Arial"/>
          <w:i/>
          <w:iCs/>
          <w:sz w:val="22"/>
          <w:szCs w:val="22"/>
          <w:lang w:val="en-NZ"/>
        </w:rPr>
        <w:t>Sustain Sci</w:t>
      </w:r>
      <w:r w:rsidRPr="00C66CFE">
        <w:rPr>
          <w:rFonts w:ascii="Arial" w:hAnsi="Arial" w:cs="Arial"/>
          <w:sz w:val="22"/>
          <w:szCs w:val="22"/>
          <w:lang w:val="en-NZ"/>
        </w:rPr>
        <w:t>, 13, 1175–1183. https://doi.org/10.1007/s11625-018-0550-9</w:t>
      </w:r>
    </w:p>
    <w:p w14:paraId="36CCBAA8" w14:textId="77777777" w:rsidR="00C66CFE" w:rsidRPr="00C66CFE" w:rsidRDefault="00C66CFE" w:rsidP="00C66CFE">
      <w:pPr>
        <w:numPr>
          <w:ilvl w:val="0"/>
          <w:numId w:val="4"/>
        </w:numPr>
        <w:rPr>
          <w:rFonts w:ascii="Arial" w:hAnsi="Arial" w:cs="Arial"/>
          <w:sz w:val="22"/>
          <w:szCs w:val="22"/>
          <w:lang w:val="en-NZ"/>
        </w:rPr>
      </w:pPr>
      <w:r w:rsidRPr="00C66CFE">
        <w:rPr>
          <w:rFonts w:ascii="Arial" w:hAnsi="Arial" w:cs="Arial"/>
          <w:sz w:val="22"/>
          <w:szCs w:val="22"/>
          <w:lang w:val="en-NZ"/>
        </w:rPr>
        <w:t>Boykoff, M., Frame, B., &amp; Randalls, S. (2014). The Framing of Climate Change in New Zealand Newspapers. </w:t>
      </w:r>
      <w:r w:rsidRPr="00C66CFE">
        <w:rPr>
          <w:rFonts w:ascii="Arial" w:hAnsi="Arial" w:cs="Arial"/>
          <w:i/>
          <w:iCs/>
          <w:sz w:val="22"/>
          <w:szCs w:val="22"/>
          <w:lang w:val="en-NZ"/>
        </w:rPr>
        <w:t>Journal of the Royal Society of New Zealand, 44</w:t>
      </w:r>
      <w:r w:rsidRPr="00C66CFE">
        <w:rPr>
          <w:rFonts w:ascii="Arial" w:hAnsi="Arial" w:cs="Arial"/>
          <w:sz w:val="22"/>
          <w:szCs w:val="22"/>
          <w:lang w:val="en-NZ"/>
        </w:rPr>
        <w:t>(4), 151-169. https://doi.org/10.1080/03036758.2014.996234</w:t>
      </w:r>
    </w:p>
    <w:p w14:paraId="67219F76" w14:textId="77777777" w:rsidR="00C66CFE" w:rsidRPr="00C66CFE" w:rsidRDefault="00C66CFE" w:rsidP="00C66CFE">
      <w:pPr>
        <w:numPr>
          <w:ilvl w:val="0"/>
          <w:numId w:val="4"/>
        </w:numPr>
        <w:rPr>
          <w:rFonts w:ascii="Arial" w:hAnsi="Arial" w:cs="Arial"/>
          <w:sz w:val="22"/>
          <w:szCs w:val="22"/>
          <w:lang w:val="en-NZ"/>
        </w:rPr>
      </w:pPr>
      <w:r w:rsidRPr="00C66CFE">
        <w:rPr>
          <w:rFonts w:ascii="Arial" w:hAnsi="Arial" w:cs="Arial"/>
          <w:sz w:val="22"/>
          <w:szCs w:val="22"/>
          <w:lang w:val="en-NZ"/>
        </w:rPr>
        <w:t xml:space="preserve">Funtowicz, S.O., &amp; </w:t>
      </w:r>
      <w:proofErr w:type="spellStart"/>
      <w:r w:rsidRPr="00C66CFE">
        <w:rPr>
          <w:rFonts w:ascii="Arial" w:hAnsi="Arial" w:cs="Arial"/>
          <w:sz w:val="22"/>
          <w:szCs w:val="22"/>
          <w:lang w:val="en-NZ"/>
        </w:rPr>
        <w:t>Ravetz</w:t>
      </w:r>
      <w:proofErr w:type="spellEnd"/>
      <w:r w:rsidRPr="00C66CFE">
        <w:rPr>
          <w:rFonts w:ascii="Arial" w:hAnsi="Arial" w:cs="Arial"/>
          <w:sz w:val="22"/>
          <w:szCs w:val="22"/>
          <w:lang w:val="en-NZ"/>
        </w:rPr>
        <w:t>, J.R. (1993). Science for the post-normal age. </w:t>
      </w:r>
      <w:r w:rsidRPr="00C66CFE">
        <w:rPr>
          <w:rFonts w:ascii="Arial" w:hAnsi="Arial" w:cs="Arial"/>
          <w:i/>
          <w:iCs/>
          <w:sz w:val="22"/>
          <w:szCs w:val="22"/>
          <w:lang w:val="en-NZ"/>
        </w:rPr>
        <w:t>Futures, 25</w:t>
      </w:r>
      <w:r w:rsidRPr="00C66CFE">
        <w:rPr>
          <w:rFonts w:ascii="Arial" w:hAnsi="Arial" w:cs="Arial"/>
          <w:sz w:val="22"/>
          <w:szCs w:val="22"/>
          <w:lang w:val="en-NZ"/>
        </w:rPr>
        <w:t>(7), 739-755. https://doi.org/10.1016/0016-3287(93)90022-</w:t>
      </w:r>
    </w:p>
    <w:p w14:paraId="0FEF694E" w14:textId="77777777" w:rsidR="00C66CFE" w:rsidRPr="00C66CFE" w:rsidRDefault="00C66CFE" w:rsidP="00C66CFE">
      <w:pPr>
        <w:numPr>
          <w:ilvl w:val="0"/>
          <w:numId w:val="4"/>
        </w:numPr>
        <w:rPr>
          <w:rFonts w:ascii="Arial" w:hAnsi="Arial" w:cs="Arial"/>
          <w:sz w:val="22"/>
          <w:szCs w:val="22"/>
          <w:lang w:val="en-NZ"/>
        </w:rPr>
      </w:pPr>
      <w:r w:rsidRPr="00C66CFE">
        <w:rPr>
          <w:rFonts w:ascii="Arial" w:hAnsi="Arial" w:cs="Arial"/>
          <w:sz w:val="22"/>
          <w:szCs w:val="22"/>
          <w:lang w:val="en-NZ"/>
        </w:rPr>
        <w:t>Kuhn, T. S., &amp; Hacking, I. (2012). </w:t>
      </w:r>
      <w:r w:rsidRPr="00C66CFE">
        <w:rPr>
          <w:rFonts w:ascii="Arial" w:hAnsi="Arial" w:cs="Arial"/>
          <w:i/>
          <w:iCs/>
          <w:sz w:val="22"/>
          <w:szCs w:val="22"/>
          <w:lang w:val="en-NZ"/>
        </w:rPr>
        <w:t>The structure of scientific revolutions</w:t>
      </w:r>
      <w:r w:rsidRPr="00C66CFE">
        <w:rPr>
          <w:rFonts w:ascii="Arial" w:hAnsi="Arial" w:cs="Arial"/>
          <w:sz w:val="22"/>
          <w:szCs w:val="22"/>
          <w:lang w:val="en-NZ"/>
        </w:rPr>
        <w:t> (Fourth edition). The University of Chicago Press.</w:t>
      </w:r>
    </w:p>
    <w:p w14:paraId="6EA79D57" w14:textId="77777777" w:rsidR="00C66CFE" w:rsidRPr="00C66CFE" w:rsidRDefault="00C66CFE" w:rsidP="00C66CFE">
      <w:pPr>
        <w:numPr>
          <w:ilvl w:val="0"/>
          <w:numId w:val="4"/>
        </w:numPr>
        <w:rPr>
          <w:rFonts w:ascii="Arial" w:hAnsi="Arial" w:cs="Arial"/>
          <w:sz w:val="22"/>
          <w:szCs w:val="22"/>
          <w:lang w:val="en-NZ"/>
        </w:rPr>
      </w:pPr>
      <w:r w:rsidRPr="00C66CFE">
        <w:rPr>
          <w:rFonts w:ascii="Arial" w:hAnsi="Arial" w:cs="Arial"/>
          <w:sz w:val="22"/>
          <w:szCs w:val="22"/>
          <w:lang w:val="en-NZ"/>
        </w:rPr>
        <w:t>Lawrence, J., Blackett, P., Cradock-Henry, N.A., &amp; Nistor, B. (2021). Inadequacy Revealed and the Transition to Adaptation as Risk Management. </w:t>
      </w:r>
      <w:r w:rsidRPr="00C66CFE">
        <w:rPr>
          <w:rFonts w:ascii="Arial" w:hAnsi="Arial" w:cs="Arial"/>
          <w:i/>
          <w:iCs/>
          <w:sz w:val="22"/>
          <w:szCs w:val="22"/>
          <w:lang w:val="en-NZ"/>
        </w:rPr>
        <w:t>Frontiers in Climate, 3</w:t>
      </w:r>
      <w:r w:rsidRPr="00C66CFE">
        <w:rPr>
          <w:rFonts w:ascii="Arial" w:hAnsi="Arial" w:cs="Arial"/>
          <w:sz w:val="22"/>
          <w:szCs w:val="22"/>
          <w:lang w:val="en-NZ"/>
        </w:rPr>
        <w:t>, 734726. https://doi.org/10.3389/fclim.2021.734726</w:t>
      </w:r>
    </w:p>
    <w:p w14:paraId="2F4C01CD" w14:textId="77777777" w:rsidR="00C66CFE" w:rsidRPr="00C66CFE" w:rsidRDefault="00C66CFE" w:rsidP="00C66CFE">
      <w:pPr>
        <w:numPr>
          <w:ilvl w:val="0"/>
          <w:numId w:val="4"/>
        </w:numPr>
        <w:rPr>
          <w:rFonts w:ascii="Arial" w:hAnsi="Arial" w:cs="Arial"/>
          <w:sz w:val="22"/>
          <w:szCs w:val="22"/>
          <w:lang w:val="en-NZ"/>
        </w:rPr>
      </w:pPr>
      <w:r w:rsidRPr="00C66CFE">
        <w:rPr>
          <w:rFonts w:ascii="Arial" w:hAnsi="Arial" w:cs="Arial"/>
          <w:sz w:val="22"/>
          <w:szCs w:val="22"/>
          <w:lang w:val="en-NZ"/>
        </w:rPr>
        <w:t>Manning, M., Chapman, R., &amp; Haughey, S. (2014). Climate Change Impacts &amp; Implications for New Zealand: Framing Conversations around Risk and Uncertainty. </w:t>
      </w:r>
      <w:r w:rsidRPr="00C66CFE">
        <w:rPr>
          <w:rFonts w:ascii="Arial" w:hAnsi="Arial" w:cs="Arial"/>
          <w:i/>
          <w:iCs/>
          <w:sz w:val="22"/>
          <w:szCs w:val="22"/>
          <w:lang w:val="en-NZ"/>
        </w:rPr>
        <w:t>Research Report</w:t>
      </w:r>
      <w:r w:rsidRPr="00C66CFE">
        <w:rPr>
          <w:rFonts w:ascii="Arial" w:hAnsi="Arial" w:cs="Arial"/>
          <w:sz w:val="22"/>
          <w:szCs w:val="22"/>
          <w:lang w:val="en-NZ"/>
        </w:rPr>
        <w:t>, Victoria University of Wellington. https://www.researchgate.net/publication/336830266</w:t>
      </w:r>
    </w:p>
    <w:p w14:paraId="11EDDE3B" w14:textId="77777777" w:rsidR="00C66CFE" w:rsidRPr="00C66CFE" w:rsidRDefault="00C66CFE" w:rsidP="00C66CFE">
      <w:pPr>
        <w:numPr>
          <w:ilvl w:val="0"/>
          <w:numId w:val="4"/>
        </w:numPr>
        <w:rPr>
          <w:rFonts w:ascii="Arial" w:hAnsi="Arial" w:cs="Arial"/>
          <w:sz w:val="22"/>
          <w:szCs w:val="22"/>
          <w:lang w:val="en-NZ"/>
        </w:rPr>
      </w:pPr>
      <w:r w:rsidRPr="00C66CFE">
        <w:rPr>
          <w:rFonts w:ascii="Arial" w:hAnsi="Arial" w:cs="Arial"/>
          <w:sz w:val="22"/>
          <w:szCs w:val="22"/>
          <w:lang w:val="en-NZ"/>
        </w:rPr>
        <w:t>Moser, S. C., &amp; Ekstrom, J. A. (2010). Framing Climate Change Adaptation in Policy and Practice. </w:t>
      </w:r>
      <w:r w:rsidRPr="00C66CFE">
        <w:rPr>
          <w:rFonts w:ascii="Arial" w:hAnsi="Arial" w:cs="Arial"/>
          <w:i/>
          <w:iCs/>
          <w:sz w:val="22"/>
          <w:szCs w:val="22"/>
          <w:lang w:val="en-NZ"/>
        </w:rPr>
        <w:t>Environmental Science &amp; Policy, 13</w:t>
      </w:r>
      <w:r w:rsidRPr="00C66CFE">
        <w:rPr>
          <w:rFonts w:ascii="Arial" w:hAnsi="Arial" w:cs="Arial"/>
          <w:sz w:val="22"/>
          <w:szCs w:val="22"/>
          <w:lang w:val="en-NZ"/>
        </w:rPr>
        <w:t>(8), 807-814. https://doi.org/10.1016/j.envsci.2010.08.004</w:t>
      </w:r>
    </w:p>
    <w:p w14:paraId="6D733F38" w14:textId="77777777" w:rsidR="00C66CFE" w:rsidRPr="00C66CFE" w:rsidRDefault="00C66CFE" w:rsidP="00C66CFE">
      <w:pPr>
        <w:numPr>
          <w:ilvl w:val="0"/>
          <w:numId w:val="4"/>
        </w:numPr>
        <w:rPr>
          <w:rFonts w:ascii="Arial" w:hAnsi="Arial" w:cs="Arial"/>
          <w:sz w:val="22"/>
          <w:szCs w:val="22"/>
          <w:lang w:val="en-NZ"/>
        </w:rPr>
      </w:pPr>
      <w:r w:rsidRPr="00C66CFE">
        <w:rPr>
          <w:rFonts w:ascii="Arial" w:hAnsi="Arial" w:cs="Arial"/>
          <w:sz w:val="22"/>
          <w:szCs w:val="22"/>
          <w:lang w:val="en-NZ"/>
        </w:rPr>
        <w:t>Stirling, A. (2010). Keep it complex. </w:t>
      </w:r>
      <w:r w:rsidRPr="00C66CFE">
        <w:rPr>
          <w:rFonts w:ascii="Arial" w:hAnsi="Arial" w:cs="Arial"/>
          <w:i/>
          <w:iCs/>
          <w:sz w:val="22"/>
          <w:szCs w:val="22"/>
          <w:lang w:val="en-NZ"/>
        </w:rPr>
        <w:t>Nature, 468</w:t>
      </w:r>
      <w:r w:rsidRPr="00C66CFE">
        <w:rPr>
          <w:rFonts w:ascii="Arial" w:hAnsi="Arial" w:cs="Arial"/>
          <w:sz w:val="22"/>
          <w:szCs w:val="22"/>
          <w:lang w:val="en-NZ"/>
        </w:rPr>
        <w:t>, 1029–1031. https://doi.org/10.1038/4681029a</w:t>
      </w:r>
    </w:p>
    <w:p w14:paraId="794D339D" w14:textId="77777777" w:rsidR="00C66CFE" w:rsidRPr="00C66CFE" w:rsidRDefault="00C66CFE" w:rsidP="00C66CFE">
      <w:pPr>
        <w:numPr>
          <w:ilvl w:val="0"/>
          <w:numId w:val="4"/>
        </w:numPr>
        <w:rPr>
          <w:rFonts w:ascii="Arial" w:hAnsi="Arial" w:cs="Arial"/>
          <w:sz w:val="22"/>
          <w:szCs w:val="22"/>
          <w:lang w:val="en-NZ"/>
        </w:rPr>
      </w:pPr>
      <w:r w:rsidRPr="00C66CFE">
        <w:rPr>
          <w:rFonts w:ascii="Arial" w:hAnsi="Arial" w:cs="Arial"/>
          <w:sz w:val="22"/>
          <w:szCs w:val="22"/>
          <w:lang w:val="en-NZ"/>
        </w:rPr>
        <w:t>Young, Oran R. (2004). </w:t>
      </w:r>
      <w:r w:rsidRPr="00C66CFE">
        <w:rPr>
          <w:rFonts w:ascii="Arial" w:hAnsi="Arial" w:cs="Arial"/>
          <w:i/>
          <w:iCs/>
          <w:sz w:val="22"/>
          <w:szCs w:val="22"/>
          <w:lang w:val="en-NZ"/>
        </w:rPr>
        <w:t>The Institutional Dimension of Environmental Change: Fit, Interplay, and Scale</w:t>
      </w:r>
      <w:r w:rsidRPr="00C66CFE">
        <w:rPr>
          <w:rFonts w:ascii="Arial" w:hAnsi="Arial" w:cs="Arial"/>
          <w:sz w:val="22"/>
          <w:szCs w:val="22"/>
          <w:lang w:val="en-NZ"/>
        </w:rPr>
        <w:t>. </w:t>
      </w:r>
      <w:r w:rsidRPr="00C66CFE">
        <w:rPr>
          <w:rFonts w:ascii="Arial" w:hAnsi="Arial" w:cs="Arial"/>
          <w:i/>
          <w:iCs/>
          <w:sz w:val="22"/>
          <w:szCs w:val="22"/>
          <w:lang w:val="en-NZ"/>
        </w:rPr>
        <w:t>Environmental Values, 13</w:t>
      </w:r>
      <w:r w:rsidRPr="00C66CFE">
        <w:rPr>
          <w:rFonts w:ascii="Arial" w:hAnsi="Arial" w:cs="Arial"/>
          <w:sz w:val="22"/>
          <w:szCs w:val="22"/>
          <w:lang w:val="en-NZ"/>
        </w:rPr>
        <w:t>(1), 135-137.</w:t>
      </w:r>
    </w:p>
    <w:p w14:paraId="5768A548" w14:textId="77777777" w:rsidR="00C66CFE" w:rsidRPr="00C66CFE" w:rsidRDefault="00C66CFE" w:rsidP="00C66CFE">
      <w:pPr>
        <w:rPr>
          <w:rFonts w:ascii="Arial" w:hAnsi="Arial" w:cs="Arial"/>
          <w:b/>
          <w:bCs/>
          <w:sz w:val="22"/>
          <w:szCs w:val="22"/>
          <w:lang w:val="en-NZ"/>
        </w:rPr>
      </w:pPr>
    </w:p>
    <w:p w14:paraId="21C1FA02" w14:textId="17DB6970" w:rsidR="00C66CFE" w:rsidRPr="00C66CFE" w:rsidRDefault="00C66CFE" w:rsidP="00C66CFE">
      <w:pPr>
        <w:rPr>
          <w:rFonts w:ascii="Arial" w:hAnsi="Arial" w:cs="Arial"/>
          <w:sz w:val="22"/>
          <w:szCs w:val="22"/>
          <w:lang w:val="en-NZ"/>
        </w:rPr>
      </w:pPr>
      <w:r w:rsidRPr="00C66CFE">
        <w:rPr>
          <w:rFonts w:ascii="Arial" w:hAnsi="Arial" w:cs="Arial"/>
          <w:b/>
          <w:bCs/>
          <w:sz w:val="22"/>
          <w:szCs w:val="22"/>
          <w:lang w:val="en-NZ"/>
        </w:rPr>
        <w:t>Keywords:</w:t>
      </w:r>
      <w:r w:rsidRPr="00C66CFE">
        <w:rPr>
          <w:rFonts w:ascii="Arial" w:hAnsi="Arial" w:cs="Arial"/>
          <w:sz w:val="22"/>
          <w:szCs w:val="22"/>
          <w:lang w:val="en-NZ"/>
        </w:rPr>
        <w:t> climate adaptation, governance, problem framing, interdisciplinary collaboration, New Zealand, wicked problems</w:t>
      </w:r>
    </w:p>
    <w:p w14:paraId="15AC9FEF" w14:textId="0C48EA4D" w:rsidR="009010B0" w:rsidRPr="00C66CFE" w:rsidRDefault="009010B0" w:rsidP="00C66CFE">
      <w:pPr>
        <w:rPr>
          <w:rFonts w:ascii="Arial" w:hAnsi="Arial" w:cs="Arial"/>
          <w:sz w:val="22"/>
          <w:szCs w:val="22"/>
        </w:rPr>
      </w:pPr>
    </w:p>
    <w:sectPr w:rsidR="009010B0" w:rsidRPr="00C66CFE"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0E09"/>
    <w:multiLevelType w:val="multilevel"/>
    <w:tmpl w:val="6996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62301"/>
    <w:multiLevelType w:val="multilevel"/>
    <w:tmpl w:val="2760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F5530D7"/>
    <w:multiLevelType w:val="hybridMultilevel"/>
    <w:tmpl w:val="AE8EF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A1211"/>
    <w:multiLevelType w:val="multilevel"/>
    <w:tmpl w:val="9B12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2"/>
  </w:num>
  <w:num w:numId="2" w16cid:durableId="1027095654">
    <w:abstractNumId w:val="6"/>
  </w:num>
  <w:num w:numId="3" w16cid:durableId="1316374630">
    <w:abstractNumId w:val="3"/>
  </w:num>
  <w:num w:numId="4" w16cid:durableId="365763464">
    <w:abstractNumId w:val="1"/>
  </w:num>
  <w:num w:numId="5" w16cid:durableId="154032746">
    <w:abstractNumId w:val="5"/>
  </w:num>
  <w:num w:numId="6" w16cid:durableId="1322998748">
    <w:abstractNumId w:val="4"/>
  </w:num>
  <w:num w:numId="7" w16cid:durableId="135005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7356"/>
    <w:rsid w:val="0034503D"/>
    <w:rsid w:val="00354C31"/>
    <w:rsid w:val="00375B20"/>
    <w:rsid w:val="00386D01"/>
    <w:rsid w:val="0039799D"/>
    <w:rsid w:val="004049E7"/>
    <w:rsid w:val="00462B90"/>
    <w:rsid w:val="004828A0"/>
    <w:rsid w:val="004B69C7"/>
    <w:rsid w:val="004D193B"/>
    <w:rsid w:val="004F4CE8"/>
    <w:rsid w:val="004F5C81"/>
    <w:rsid w:val="0053222C"/>
    <w:rsid w:val="0054343A"/>
    <w:rsid w:val="005469BD"/>
    <w:rsid w:val="00550B17"/>
    <w:rsid w:val="005854B8"/>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63443"/>
    <w:rsid w:val="00965FD5"/>
    <w:rsid w:val="009A47DC"/>
    <w:rsid w:val="009C374A"/>
    <w:rsid w:val="009F4EA0"/>
    <w:rsid w:val="009F55B8"/>
    <w:rsid w:val="00A91B61"/>
    <w:rsid w:val="00B026E8"/>
    <w:rsid w:val="00B75CD3"/>
    <w:rsid w:val="00BA0872"/>
    <w:rsid w:val="00BA26BB"/>
    <w:rsid w:val="00BC6810"/>
    <w:rsid w:val="00BE0B4D"/>
    <w:rsid w:val="00BE58D6"/>
    <w:rsid w:val="00BE69AD"/>
    <w:rsid w:val="00C26081"/>
    <w:rsid w:val="00C4126D"/>
    <w:rsid w:val="00C66CFE"/>
    <w:rsid w:val="00C76C99"/>
    <w:rsid w:val="00C8423A"/>
    <w:rsid w:val="00CE53FE"/>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rmalWeb">
    <w:name w:val="Normal (Web)"/>
    <w:basedOn w:val="Normal"/>
    <w:uiPriority w:val="99"/>
    <w:unhideWhenUsed/>
    <w:rsid w:val="00C66CFE"/>
    <w:pPr>
      <w:spacing w:before="100" w:beforeAutospacing="1" w:after="100" w:afterAutospacing="1"/>
    </w:pPr>
    <w:rPr>
      <w:rFonts w:ascii="Times New Roman" w:eastAsia="Times New Roman" w:hAnsi="Times New Roman" w:cs="Times New Roman"/>
      <w:lang w:val="en-N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441759">
      <w:bodyDiv w:val="1"/>
      <w:marLeft w:val="0"/>
      <w:marRight w:val="0"/>
      <w:marTop w:val="0"/>
      <w:marBottom w:val="0"/>
      <w:divBdr>
        <w:top w:val="none" w:sz="0" w:space="0" w:color="auto"/>
        <w:left w:val="none" w:sz="0" w:space="0" w:color="auto"/>
        <w:bottom w:val="none" w:sz="0" w:space="0" w:color="auto"/>
        <w:right w:val="none" w:sz="0" w:space="0" w:color="auto"/>
      </w:divBdr>
    </w:div>
    <w:div w:id="728190441">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277373542">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41742980">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618179788">
      <w:bodyDiv w:val="1"/>
      <w:marLeft w:val="0"/>
      <w:marRight w:val="0"/>
      <w:marTop w:val="0"/>
      <w:marBottom w:val="0"/>
      <w:divBdr>
        <w:top w:val="none" w:sz="0" w:space="0" w:color="auto"/>
        <w:left w:val="none" w:sz="0" w:space="0" w:color="auto"/>
        <w:bottom w:val="none" w:sz="0" w:space="0" w:color="auto"/>
        <w:right w:val="none" w:sz="0" w:space="0" w:color="auto"/>
      </w:divBdr>
    </w:div>
    <w:div w:id="1695300230">
      <w:bodyDiv w:val="1"/>
      <w:marLeft w:val="0"/>
      <w:marRight w:val="0"/>
      <w:marTop w:val="0"/>
      <w:marBottom w:val="0"/>
      <w:divBdr>
        <w:top w:val="none" w:sz="0" w:space="0" w:color="auto"/>
        <w:left w:val="none" w:sz="0" w:space="0" w:color="auto"/>
        <w:bottom w:val="none" w:sz="0" w:space="0" w:color="auto"/>
        <w:right w:val="none" w:sz="0" w:space="0" w:color="auto"/>
      </w:divBdr>
    </w:div>
    <w:div w:id="1806657732">
      <w:bodyDiv w:val="1"/>
      <w:marLeft w:val="0"/>
      <w:marRight w:val="0"/>
      <w:marTop w:val="0"/>
      <w:marBottom w:val="0"/>
      <w:divBdr>
        <w:top w:val="none" w:sz="0" w:space="0" w:color="auto"/>
        <w:left w:val="none" w:sz="0" w:space="0" w:color="auto"/>
        <w:bottom w:val="none" w:sz="0" w:space="0" w:color="auto"/>
        <w:right w:val="none" w:sz="0" w:space="0" w:color="auto"/>
      </w:divBdr>
    </w:div>
    <w:div w:id="1808621657">
      <w:bodyDiv w:val="1"/>
      <w:marLeft w:val="0"/>
      <w:marRight w:val="0"/>
      <w:marTop w:val="0"/>
      <w:marBottom w:val="0"/>
      <w:divBdr>
        <w:top w:val="none" w:sz="0" w:space="0" w:color="auto"/>
        <w:left w:val="none" w:sz="0" w:space="0" w:color="auto"/>
        <w:bottom w:val="none" w:sz="0" w:space="0" w:color="auto"/>
        <w:right w:val="none" w:sz="0" w:space="0" w:color="auto"/>
      </w:divBdr>
    </w:div>
    <w:div w:id="201969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9A9C3-8B92-4724-91BF-38C3BF28F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purl.org/dc/elements/1.1/"/>
    <ds:schemaRef ds:uri="cab52c9b-ab33-4221-8af9-54f8f2b86a80"/>
    <ds:schemaRef ds:uri="http://purl.org/dc/terms/"/>
    <ds:schemaRef ds:uri="9c8a2b7b-0bee-4c48-b0a6-23db8982d3bc"/>
    <ds:schemaRef ds:uri="http://schemas.microsoft.com/office/2006/documentManagement/types"/>
    <ds:schemaRef ds:uri="6911e96c-4cc4-42d5-8e43-f93924cf6a05"/>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842</Words>
  <Characters>4805</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2025-02-28T03:03:00Z</dcterms:created>
  <dcterms:modified xsi:type="dcterms:W3CDTF">2025-08-10T01:48:00Z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