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Ind w:w="108" w:type="dxa"/>
        <w:tblLook w:val="01E0" w:firstRow="1" w:lastRow="1" w:firstColumn="1" w:lastColumn="1" w:noHBand="0" w:noVBand="0"/>
      </w:tblPr>
      <w:tblGrid>
        <w:gridCol w:w="8522"/>
      </w:tblGrid>
      <w:tr w:rsidR="2770D995" w14:paraId="32E7C1F8" w14:textId="77777777" w:rsidTr="000A4F6B">
        <w:tc>
          <w:tcPr>
            <w:tcW w:w="8522" w:type="dxa"/>
          </w:tcPr>
          <w:p w14:paraId="63B40C9E" w14:textId="4C261A65" w:rsidR="2770D995" w:rsidRDefault="51D669BD" w:rsidP="51D669BD">
            <w:pPr>
              <w:jc w:val="both"/>
              <w:rPr>
                <w:rFonts w:ascii="Arial" w:eastAsia="Arial" w:hAnsi="Arial" w:cs="Arial"/>
                <w:b/>
                <w:bCs/>
                <w:sz w:val="22"/>
                <w:szCs w:val="22"/>
              </w:rPr>
            </w:pPr>
            <w:r w:rsidRPr="51D669BD">
              <w:rPr>
                <w:rFonts w:ascii="Arial" w:eastAsia="Arial" w:hAnsi="Arial" w:cs="Arial"/>
                <w:b/>
                <w:bCs/>
                <w:sz w:val="22"/>
                <w:szCs w:val="22"/>
              </w:rPr>
              <w:t>The Millennium Goals as guiding principles of the Municipal Master Plans</w:t>
            </w:r>
          </w:p>
        </w:tc>
      </w:tr>
      <w:tr w:rsidR="2770D995" w14:paraId="2EFDC60C" w14:textId="77777777" w:rsidTr="000A4F6B">
        <w:trPr>
          <w:trHeight w:val="7663"/>
        </w:trPr>
        <w:tc>
          <w:tcPr>
            <w:tcW w:w="8522" w:type="dxa"/>
          </w:tcPr>
          <w:p w14:paraId="352F77B0" w14:textId="77777777" w:rsidR="2770D995" w:rsidRDefault="2770D995" w:rsidP="51D669BD">
            <w:pPr>
              <w:jc w:val="both"/>
              <w:rPr>
                <w:rFonts w:ascii="Arial" w:eastAsia="Arial" w:hAnsi="Arial" w:cs="Arial"/>
                <w:b/>
                <w:bCs/>
                <w:sz w:val="22"/>
                <w:szCs w:val="22"/>
              </w:rPr>
            </w:pPr>
          </w:p>
          <w:p w14:paraId="4E094E06" w14:textId="681C0278" w:rsidR="2770D995" w:rsidRDefault="51D669BD" w:rsidP="51D669BD">
            <w:pPr>
              <w:jc w:val="both"/>
              <w:rPr>
                <w:rFonts w:ascii="Arial" w:eastAsia="Arial" w:hAnsi="Arial" w:cs="Arial"/>
                <w:b/>
                <w:bCs/>
                <w:sz w:val="22"/>
                <w:szCs w:val="22"/>
              </w:rPr>
            </w:pPr>
            <w:r w:rsidRPr="51D669BD">
              <w:rPr>
                <w:rFonts w:ascii="Arial" w:eastAsia="Arial" w:hAnsi="Arial" w:cs="Arial"/>
                <w:b/>
                <w:bCs/>
                <w:sz w:val="22"/>
                <w:szCs w:val="22"/>
              </w:rPr>
              <w:t>Background</w:t>
            </w:r>
          </w:p>
          <w:p w14:paraId="160B8D83" w14:textId="42BE1E6C" w:rsidR="2770D995" w:rsidRDefault="51D669BD" w:rsidP="51D669BD">
            <w:pPr>
              <w:jc w:val="both"/>
              <w:rPr>
                <w:rFonts w:ascii="Arial" w:eastAsia="Arial" w:hAnsi="Arial" w:cs="Arial"/>
                <w:sz w:val="22"/>
                <w:szCs w:val="22"/>
              </w:rPr>
            </w:pPr>
            <w:r w:rsidRPr="51D669BD">
              <w:rPr>
                <w:rFonts w:ascii="Arial" w:eastAsia="Arial" w:hAnsi="Arial" w:cs="Arial"/>
                <w:sz w:val="22"/>
                <w:szCs w:val="22"/>
              </w:rPr>
              <w:t>The Millennium Goals should guide the Municipal Master Plans and public policies for the sustainable development of potentially healthy cities based on quality of life and health promotion, covering social and economic issues with a focus on the prosperity of humanity and the planet in search of world’s peace.</w:t>
            </w:r>
          </w:p>
          <w:p w14:paraId="26B050C6" w14:textId="77777777" w:rsidR="2770D995" w:rsidRDefault="2770D995" w:rsidP="51D669BD">
            <w:pPr>
              <w:jc w:val="both"/>
              <w:rPr>
                <w:rFonts w:ascii="Arial" w:eastAsia="Arial" w:hAnsi="Arial" w:cs="Arial"/>
                <w:b/>
                <w:bCs/>
                <w:sz w:val="22"/>
                <w:szCs w:val="22"/>
              </w:rPr>
            </w:pPr>
          </w:p>
          <w:p w14:paraId="5DADED1E" w14:textId="77777777" w:rsidR="2770D995" w:rsidRDefault="51D669BD" w:rsidP="51D669BD">
            <w:pPr>
              <w:jc w:val="both"/>
              <w:rPr>
                <w:rFonts w:ascii="Arial" w:eastAsia="Arial" w:hAnsi="Arial" w:cs="Arial"/>
                <w:b/>
                <w:bCs/>
                <w:sz w:val="22"/>
                <w:szCs w:val="22"/>
              </w:rPr>
            </w:pPr>
            <w:r w:rsidRPr="51D669BD">
              <w:rPr>
                <w:rFonts w:ascii="Arial" w:eastAsia="Arial" w:hAnsi="Arial" w:cs="Arial"/>
                <w:b/>
                <w:bCs/>
                <w:sz w:val="22"/>
                <w:szCs w:val="22"/>
              </w:rPr>
              <w:t>Objectives</w:t>
            </w:r>
          </w:p>
          <w:p w14:paraId="6A09C730" w14:textId="0ED9B513" w:rsidR="2770D995" w:rsidRDefault="51D669BD" w:rsidP="51D669BD">
            <w:pPr>
              <w:jc w:val="both"/>
              <w:rPr>
                <w:rFonts w:ascii="Arial" w:eastAsia="Arial" w:hAnsi="Arial" w:cs="Arial"/>
                <w:sz w:val="22"/>
                <w:szCs w:val="22"/>
                <w:lang w:val="pt-BR"/>
              </w:rPr>
            </w:pPr>
            <w:r w:rsidRPr="51D669BD">
              <w:rPr>
                <w:rFonts w:ascii="Arial" w:eastAsia="Arial" w:hAnsi="Arial" w:cs="Arial"/>
                <w:sz w:val="22"/>
                <w:szCs w:val="22"/>
                <w:lang w:val="pt-BR"/>
              </w:rPr>
              <w:t>Identify the similarities between the legal frameworks: masters plans from the cities of Goiânia and Campinas with the Millennium Goals, as a possible guiding framework.</w:t>
            </w:r>
          </w:p>
          <w:p w14:paraId="2526BE6B" w14:textId="77777777" w:rsidR="2770D995" w:rsidRDefault="2770D995" w:rsidP="51D669BD">
            <w:pPr>
              <w:jc w:val="both"/>
              <w:rPr>
                <w:rFonts w:ascii="Arial" w:eastAsia="Arial" w:hAnsi="Arial" w:cs="Arial"/>
                <w:color w:val="000000" w:themeColor="text1"/>
                <w:sz w:val="22"/>
                <w:szCs w:val="22"/>
                <w:lang w:val="pt-BR" w:eastAsia="pt-BR"/>
              </w:rPr>
            </w:pPr>
          </w:p>
          <w:p w14:paraId="18286168" w14:textId="3807C714" w:rsidR="2770D995" w:rsidRDefault="51D669BD" w:rsidP="51D669BD">
            <w:pPr>
              <w:jc w:val="both"/>
              <w:rPr>
                <w:rFonts w:ascii="Arial" w:eastAsia="Arial" w:hAnsi="Arial" w:cs="Arial"/>
                <w:b/>
                <w:bCs/>
                <w:sz w:val="22"/>
                <w:szCs w:val="22"/>
              </w:rPr>
            </w:pPr>
            <w:r w:rsidRPr="51D669BD">
              <w:rPr>
                <w:rFonts w:ascii="Arial" w:eastAsia="Arial" w:hAnsi="Arial" w:cs="Arial"/>
                <w:b/>
                <w:bCs/>
                <w:sz w:val="22"/>
                <w:szCs w:val="22"/>
              </w:rPr>
              <w:t>Methods</w:t>
            </w:r>
          </w:p>
          <w:p w14:paraId="391A35E7" w14:textId="1434DD6A" w:rsidR="2770D995" w:rsidRDefault="51D669BD" w:rsidP="51D669BD">
            <w:pPr>
              <w:jc w:val="both"/>
              <w:rPr>
                <w:rFonts w:ascii="Arial" w:eastAsia="Arial" w:hAnsi="Arial" w:cs="Arial"/>
                <w:sz w:val="22"/>
                <w:szCs w:val="22"/>
                <w:lang w:val="pt-BR"/>
              </w:rPr>
            </w:pPr>
            <w:r w:rsidRPr="51D669BD">
              <w:rPr>
                <w:rFonts w:ascii="Arial" w:eastAsia="Arial" w:hAnsi="Arial" w:cs="Arial"/>
                <w:sz w:val="22"/>
                <w:szCs w:val="22"/>
                <w:lang w:val="pt-BR"/>
              </w:rPr>
              <w:t>Revisit with another focus the Municipal Master Plans of the Cities of Campinas and Goiânia in Brazil and examine how they seek to reach the potentially healthy city in line with the Millennium Goals.</w:t>
            </w:r>
          </w:p>
          <w:p w14:paraId="315F620B" w14:textId="2A33D01E" w:rsidR="2770D995" w:rsidRDefault="2770D995" w:rsidP="51D669BD">
            <w:pPr>
              <w:jc w:val="both"/>
              <w:rPr>
                <w:rFonts w:ascii="Arial" w:eastAsia="Arial" w:hAnsi="Arial" w:cs="Arial"/>
                <w:sz w:val="22"/>
                <w:szCs w:val="22"/>
              </w:rPr>
            </w:pPr>
          </w:p>
          <w:p w14:paraId="62D1475E" w14:textId="77777777" w:rsidR="2770D995" w:rsidRDefault="51D669BD" w:rsidP="51D669BD">
            <w:pPr>
              <w:jc w:val="both"/>
              <w:rPr>
                <w:rFonts w:ascii="Arial" w:eastAsia="Arial" w:hAnsi="Arial" w:cs="Arial"/>
                <w:b/>
                <w:bCs/>
                <w:sz w:val="22"/>
                <w:szCs w:val="22"/>
              </w:rPr>
            </w:pPr>
            <w:r w:rsidRPr="51D669BD">
              <w:rPr>
                <w:rFonts w:ascii="Arial" w:eastAsia="Arial" w:hAnsi="Arial" w:cs="Arial"/>
                <w:b/>
                <w:bCs/>
                <w:sz w:val="22"/>
                <w:szCs w:val="22"/>
              </w:rPr>
              <w:t>Results</w:t>
            </w:r>
          </w:p>
          <w:p w14:paraId="7144B446" w14:textId="6AF654F5" w:rsidR="2770D995" w:rsidRDefault="51D669BD" w:rsidP="51D669BD">
            <w:pPr>
              <w:jc w:val="both"/>
              <w:rPr>
                <w:rFonts w:ascii="Arial" w:eastAsia="Arial" w:hAnsi="Arial" w:cs="Arial"/>
                <w:sz w:val="22"/>
                <w:szCs w:val="22"/>
                <w:lang w:val="pt-BR"/>
              </w:rPr>
            </w:pPr>
            <w:r w:rsidRPr="51D669BD">
              <w:rPr>
                <w:rFonts w:ascii="Arial" w:eastAsia="Arial" w:hAnsi="Arial" w:cs="Arial"/>
                <w:sz w:val="22"/>
                <w:szCs w:val="22"/>
                <w:lang w:val="pt-BR"/>
              </w:rPr>
              <w:t>Through the revision of the documents it was possible to verify the convergences between the legal frameworks and the possible guiding framework. The objectives related to the fight against hunger, education and the environment, are contemplated in the directives of the mentioned masters plans. On the other hand, no targets were observed for sustainable and equitable cities. Thus, despite the effort towards a healthy city, it is understood that the lack of proposals, programs and policies hinders the sustainable development of the cities observed towards the Millennium Goals.</w:t>
            </w:r>
          </w:p>
          <w:p w14:paraId="0C9F792A" w14:textId="098EDA55" w:rsidR="2770D995" w:rsidRDefault="2770D995" w:rsidP="51D669BD">
            <w:pPr>
              <w:jc w:val="both"/>
              <w:rPr>
                <w:rFonts w:ascii="Arial" w:eastAsia="Arial" w:hAnsi="Arial" w:cs="Arial"/>
                <w:color w:val="000000" w:themeColor="text1"/>
                <w:sz w:val="22"/>
                <w:szCs w:val="22"/>
                <w:lang w:val="pt-BR" w:eastAsia="pt-BR"/>
              </w:rPr>
            </w:pPr>
          </w:p>
          <w:p w14:paraId="6A434C4C" w14:textId="76D84C10" w:rsidR="2770D995" w:rsidRDefault="51D669BD" w:rsidP="51D669BD">
            <w:pPr>
              <w:jc w:val="both"/>
              <w:rPr>
                <w:rFonts w:ascii="Arial" w:eastAsia="Arial" w:hAnsi="Arial" w:cs="Arial"/>
                <w:b/>
                <w:bCs/>
                <w:sz w:val="22"/>
                <w:szCs w:val="22"/>
              </w:rPr>
            </w:pPr>
            <w:r w:rsidRPr="51D669BD">
              <w:rPr>
                <w:rFonts w:ascii="Arial" w:eastAsia="Arial" w:hAnsi="Arial" w:cs="Arial"/>
                <w:b/>
                <w:bCs/>
                <w:sz w:val="22"/>
                <w:szCs w:val="22"/>
              </w:rPr>
              <w:t>Discussion</w:t>
            </w:r>
          </w:p>
          <w:p w14:paraId="14A7D11D" w14:textId="0BFEC378" w:rsidR="2770D995" w:rsidRDefault="51D669BD" w:rsidP="51D669BD">
            <w:pPr>
              <w:jc w:val="both"/>
              <w:rPr>
                <w:rFonts w:ascii="Arial" w:eastAsia="Arial" w:hAnsi="Arial" w:cs="Arial"/>
                <w:sz w:val="22"/>
                <w:szCs w:val="22"/>
                <w:lang w:val="pt-BR"/>
              </w:rPr>
            </w:pPr>
            <w:r w:rsidRPr="51D669BD">
              <w:rPr>
                <w:rFonts w:ascii="Arial" w:eastAsia="Arial" w:hAnsi="Arial" w:cs="Arial"/>
                <w:sz w:val="22"/>
                <w:szCs w:val="22"/>
                <w:lang w:val="pt-BR"/>
              </w:rPr>
              <w:t>Each city has its specificity and collective desires. The actions and strategies established must meet each region according to their local particularity. It is observed that, despite the dialogue between the official documents and possibilities of implementing new actions, there is shallow depth regarding some intrinsic relations of the Millennium Goals and the Masters Plans of the Cities of Campinas and Goiânia. Therefore, it is necessary that regulatory framework undergo revisions and that the administrative authorities engage with local planners to achieve the established goals. The development of guidelines and strategies toward a potentially healthy city demonstrates how it is possible to evolve through regulatory framework and move closer to the international guiding framework established by the UN.</w:t>
            </w:r>
          </w:p>
          <w:p w14:paraId="16F46F5A" w14:textId="132E5B64" w:rsidR="2770D995" w:rsidRDefault="51D669BD" w:rsidP="51D669BD">
            <w:pPr>
              <w:jc w:val="both"/>
              <w:rPr>
                <w:rFonts w:ascii="Arial" w:eastAsia="Arial" w:hAnsi="Arial" w:cs="Arial"/>
                <w:color w:val="000000" w:themeColor="text1"/>
                <w:sz w:val="22"/>
                <w:szCs w:val="22"/>
                <w:lang w:val="pt-BR" w:eastAsia="pt-BR"/>
              </w:rPr>
            </w:pPr>
            <w:r w:rsidRPr="51D669BD">
              <w:rPr>
                <w:rFonts w:ascii="Arial" w:eastAsia="Arial" w:hAnsi="Arial" w:cs="Arial"/>
                <w:color w:val="000000" w:themeColor="text1"/>
                <w:sz w:val="22"/>
                <w:szCs w:val="22"/>
                <w:lang w:val="pt-BR" w:eastAsia="pt-BR"/>
              </w:rPr>
              <w:t xml:space="preserve">. </w:t>
            </w:r>
          </w:p>
          <w:p w14:paraId="1DB5B628" w14:textId="12A4DF9D" w:rsidR="2770D995" w:rsidRDefault="51D669BD" w:rsidP="51D669BD">
            <w:pPr>
              <w:jc w:val="both"/>
              <w:rPr>
                <w:rFonts w:ascii="Arial" w:eastAsia="Arial" w:hAnsi="Arial" w:cs="Arial"/>
                <w:b/>
                <w:bCs/>
                <w:sz w:val="22"/>
                <w:szCs w:val="22"/>
              </w:rPr>
            </w:pPr>
            <w:r w:rsidRPr="51D669BD">
              <w:rPr>
                <w:rFonts w:ascii="Arial" w:eastAsia="Arial" w:hAnsi="Arial" w:cs="Arial"/>
                <w:b/>
                <w:bCs/>
                <w:sz w:val="22"/>
                <w:szCs w:val="22"/>
              </w:rPr>
              <w:t>Keywords</w:t>
            </w:r>
          </w:p>
          <w:p w14:paraId="4CAA8FCC" w14:textId="0E680100" w:rsidR="2770D995" w:rsidRDefault="51D669BD" w:rsidP="51D669BD">
            <w:pPr>
              <w:jc w:val="both"/>
              <w:rPr>
                <w:rFonts w:ascii="Arial" w:eastAsia="Arial" w:hAnsi="Arial" w:cs="Arial"/>
                <w:sz w:val="22"/>
                <w:szCs w:val="22"/>
              </w:rPr>
            </w:pPr>
            <w:r w:rsidRPr="51D669BD">
              <w:rPr>
                <w:rFonts w:ascii="Arial" w:eastAsia="Arial" w:hAnsi="Arial" w:cs="Arial"/>
                <w:sz w:val="22"/>
                <w:szCs w:val="22"/>
              </w:rPr>
              <w:t>Master Plan; Healthy City; Millennium Goals.</w:t>
            </w:r>
            <w:bookmarkStart w:id="0" w:name="_GoBack"/>
            <w:bookmarkEnd w:id="0"/>
          </w:p>
          <w:p w14:paraId="69DA0288" w14:textId="77777777" w:rsidR="2770D995" w:rsidRDefault="2770D995" w:rsidP="51D669BD">
            <w:pPr>
              <w:jc w:val="both"/>
              <w:rPr>
                <w:rFonts w:ascii="Arial" w:eastAsia="Arial" w:hAnsi="Arial" w:cs="Arial"/>
                <w:b/>
                <w:bCs/>
                <w:sz w:val="22"/>
                <w:szCs w:val="22"/>
              </w:rPr>
            </w:pPr>
          </w:p>
          <w:p w14:paraId="47E26CC2" w14:textId="04384C95" w:rsidR="2770D995" w:rsidRDefault="2770D995" w:rsidP="51D669BD">
            <w:pPr>
              <w:jc w:val="both"/>
              <w:rPr>
                <w:rFonts w:ascii="Arial" w:eastAsia="Arial" w:hAnsi="Arial" w:cs="Arial"/>
                <w:b/>
                <w:bCs/>
                <w:sz w:val="22"/>
                <w:szCs w:val="22"/>
              </w:rPr>
            </w:pPr>
          </w:p>
          <w:p w14:paraId="216415B0" w14:textId="77777777" w:rsidR="2770D995" w:rsidRDefault="2770D995" w:rsidP="51D669BD">
            <w:pPr>
              <w:jc w:val="both"/>
              <w:rPr>
                <w:rFonts w:ascii="Arial" w:eastAsia="Arial" w:hAnsi="Arial" w:cs="Arial"/>
                <w:b/>
                <w:bCs/>
                <w:sz w:val="22"/>
                <w:szCs w:val="22"/>
              </w:rPr>
            </w:pPr>
          </w:p>
          <w:p w14:paraId="0C055A2E" w14:textId="675A1840" w:rsidR="2770D995" w:rsidRDefault="2770D995" w:rsidP="51D669BD">
            <w:pPr>
              <w:jc w:val="both"/>
              <w:rPr>
                <w:rFonts w:ascii="Arial" w:eastAsia="Arial" w:hAnsi="Arial" w:cs="Arial"/>
                <w:b/>
                <w:bCs/>
                <w:sz w:val="22"/>
                <w:szCs w:val="22"/>
              </w:rPr>
            </w:pPr>
          </w:p>
          <w:p w14:paraId="0DD95F73" w14:textId="76239C87" w:rsidR="2770D995" w:rsidRDefault="2770D995" w:rsidP="51D669BD">
            <w:pPr>
              <w:jc w:val="both"/>
              <w:rPr>
                <w:rFonts w:ascii="Arial" w:eastAsia="Arial" w:hAnsi="Arial" w:cs="Arial"/>
                <w:b/>
                <w:bCs/>
                <w:sz w:val="22"/>
                <w:szCs w:val="22"/>
              </w:rPr>
            </w:pPr>
          </w:p>
          <w:p w14:paraId="1D173E39" w14:textId="3A181901" w:rsidR="2770D995" w:rsidRDefault="2770D995" w:rsidP="51D669BD">
            <w:pPr>
              <w:jc w:val="both"/>
              <w:rPr>
                <w:rFonts w:ascii="Arial" w:eastAsia="Arial" w:hAnsi="Arial" w:cs="Arial"/>
                <w:sz w:val="22"/>
                <w:szCs w:val="22"/>
              </w:rPr>
            </w:pPr>
          </w:p>
        </w:tc>
      </w:tr>
    </w:tbl>
    <w:p w14:paraId="3E5DEFA4" w14:textId="4CFA50C8" w:rsidR="2770D995" w:rsidRDefault="2770D995" w:rsidP="2770D995"/>
    <w:sectPr w:rsidR="2770D99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479E4"/>
    <w:rsid w:val="00077988"/>
    <w:rsid w:val="0008349E"/>
    <w:rsid w:val="000A4F6B"/>
    <w:rsid w:val="000C05CE"/>
    <w:rsid w:val="00114748"/>
    <w:rsid w:val="001234F7"/>
    <w:rsid w:val="00131D1E"/>
    <w:rsid w:val="001B137C"/>
    <w:rsid w:val="001C3A37"/>
    <w:rsid w:val="00211765"/>
    <w:rsid w:val="002122E9"/>
    <w:rsid w:val="00230B21"/>
    <w:rsid w:val="00234EAA"/>
    <w:rsid w:val="00242808"/>
    <w:rsid w:val="0029262B"/>
    <w:rsid w:val="00294265"/>
    <w:rsid w:val="002A0860"/>
    <w:rsid w:val="002B7FC8"/>
    <w:rsid w:val="002F34DB"/>
    <w:rsid w:val="0030597B"/>
    <w:rsid w:val="00317FFE"/>
    <w:rsid w:val="003376BF"/>
    <w:rsid w:val="00351DA5"/>
    <w:rsid w:val="00363AF7"/>
    <w:rsid w:val="003A6236"/>
    <w:rsid w:val="003B15A7"/>
    <w:rsid w:val="003F596D"/>
    <w:rsid w:val="00490208"/>
    <w:rsid w:val="004B5B95"/>
    <w:rsid w:val="004B7D91"/>
    <w:rsid w:val="004C45A1"/>
    <w:rsid w:val="004D0AED"/>
    <w:rsid w:val="004E345D"/>
    <w:rsid w:val="00564331"/>
    <w:rsid w:val="00590824"/>
    <w:rsid w:val="005F7DC7"/>
    <w:rsid w:val="006161BB"/>
    <w:rsid w:val="006605DB"/>
    <w:rsid w:val="00663BFF"/>
    <w:rsid w:val="006C6E32"/>
    <w:rsid w:val="0070252B"/>
    <w:rsid w:val="00714C46"/>
    <w:rsid w:val="007266FB"/>
    <w:rsid w:val="007A2A9C"/>
    <w:rsid w:val="007A5BDA"/>
    <w:rsid w:val="007E61BA"/>
    <w:rsid w:val="0080370B"/>
    <w:rsid w:val="0082392D"/>
    <w:rsid w:val="008874BF"/>
    <w:rsid w:val="008B176D"/>
    <w:rsid w:val="008C05AC"/>
    <w:rsid w:val="008C05C1"/>
    <w:rsid w:val="009163A2"/>
    <w:rsid w:val="00932377"/>
    <w:rsid w:val="009579B1"/>
    <w:rsid w:val="009835F0"/>
    <w:rsid w:val="00984AB3"/>
    <w:rsid w:val="009B501D"/>
    <w:rsid w:val="009B7881"/>
    <w:rsid w:val="00A112C8"/>
    <w:rsid w:val="00A1780F"/>
    <w:rsid w:val="00AA0D6C"/>
    <w:rsid w:val="00AA1598"/>
    <w:rsid w:val="00AA5B46"/>
    <w:rsid w:val="00AB42C9"/>
    <w:rsid w:val="00B12CD1"/>
    <w:rsid w:val="00B20967"/>
    <w:rsid w:val="00B766BF"/>
    <w:rsid w:val="00BC5CBE"/>
    <w:rsid w:val="00C211D2"/>
    <w:rsid w:val="00C73E89"/>
    <w:rsid w:val="00C84789"/>
    <w:rsid w:val="00C85DC6"/>
    <w:rsid w:val="00C978A6"/>
    <w:rsid w:val="00CA0DE6"/>
    <w:rsid w:val="00CA54DA"/>
    <w:rsid w:val="00CB2597"/>
    <w:rsid w:val="00CC5CF2"/>
    <w:rsid w:val="00CD0335"/>
    <w:rsid w:val="00CE496D"/>
    <w:rsid w:val="00CE5D57"/>
    <w:rsid w:val="00D618F8"/>
    <w:rsid w:val="00D71EFE"/>
    <w:rsid w:val="00DA45EE"/>
    <w:rsid w:val="00DA7A71"/>
    <w:rsid w:val="00DC2993"/>
    <w:rsid w:val="00DC2C64"/>
    <w:rsid w:val="00DE6D44"/>
    <w:rsid w:val="00E0479B"/>
    <w:rsid w:val="00E36AD7"/>
    <w:rsid w:val="00E379B4"/>
    <w:rsid w:val="00E458B1"/>
    <w:rsid w:val="00F16B61"/>
    <w:rsid w:val="00F407AD"/>
    <w:rsid w:val="00F86A0C"/>
    <w:rsid w:val="00FB626D"/>
    <w:rsid w:val="2770D995"/>
    <w:rsid w:val="51D669BD"/>
    <w:rsid w:val="639CE7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cuodecorpodetexto">
    <w:name w:val="Body Text Indent"/>
    <w:basedOn w:val="Normal"/>
    <w:rsid w:val="000C05CE"/>
    <w:pPr>
      <w:spacing w:after="120"/>
      <w:ind w:left="283"/>
    </w:pPr>
    <w:rPr>
      <w:sz w:val="20"/>
      <w:szCs w:val="20"/>
      <w:lang w:val="en-US"/>
    </w:rPr>
  </w:style>
  <w:style w:type="table" w:styleId="Tabelacomgrade">
    <w:name w:val="Table Grid"/>
    <w:basedOn w:val="Tabela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tulo">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6487">
      <w:bodyDiv w:val="1"/>
      <w:marLeft w:val="0"/>
      <w:marRight w:val="0"/>
      <w:marTop w:val="0"/>
      <w:marBottom w:val="0"/>
      <w:divBdr>
        <w:top w:val="none" w:sz="0" w:space="0" w:color="auto"/>
        <w:left w:val="none" w:sz="0" w:space="0" w:color="auto"/>
        <w:bottom w:val="none" w:sz="0" w:space="0" w:color="auto"/>
        <w:right w:val="none" w:sz="0" w:space="0" w:color="auto"/>
      </w:divBdr>
    </w:div>
    <w:div w:id="183178139">
      <w:bodyDiv w:val="1"/>
      <w:marLeft w:val="0"/>
      <w:marRight w:val="0"/>
      <w:marTop w:val="0"/>
      <w:marBottom w:val="0"/>
      <w:divBdr>
        <w:top w:val="none" w:sz="0" w:space="0" w:color="auto"/>
        <w:left w:val="none" w:sz="0" w:space="0" w:color="auto"/>
        <w:bottom w:val="none" w:sz="0" w:space="0" w:color="auto"/>
        <w:right w:val="none" w:sz="0" w:space="0" w:color="auto"/>
      </w:divBdr>
    </w:div>
    <w:div w:id="188371296">
      <w:bodyDiv w:val="1"/>
      <w:marLeft w:val="0"/>
      <w:marRight w:val="0"/>
      <w:marTop w:val="0"/>
      <w:marBottom w:val="0"/>
      <w:divBdr>
        <w:top w:val="none" w:sz="0" w:space="0" w:color="auto"/>
        <w:left w:val="none" w:sz="0" w:space="0" w:color="auto"/>
        <w:bottom w:val="none" w:sz="0" w:space="0" w:color="auto"/>
        <w:right w:val="none" w:sz="0" w:space="0" w:color="auto"/>
      </w:divBdr>
    </w:div>
    <w:div w:id="191306435">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5220188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498376192">
      <w:bodyDiv w:val="1"/>
      <w:marLeft w:val="0"/>
      <w:marRight w:val="0"/>
      <w:marTop w:val="0"/>
      <w:marBottom w:val="0"/>
      <w:divBdr>
        <w:top w:val="none" w:sz="0" w:space="0" w:color="auto"/>
        <w:left w:val="none" w:sz="0" w:space="0" w:color="auto"/>
        <w:bottom w:val="none" w:sz="0" w:space="0" w:color="auto"/>
        <w:right w:val="none" w:sz="0" w:space="0" w:color="auto"/>
      </w:divBdr>
    </w:div>
    <w:div w:id="193108516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1938</Characters>
  <Application>Microsoft Office Word</Application>
  <DocSecurity>0</DocSecurity>
  <Lines>47</Lines>
  <Paragraphs>15</Paragraphs>
  <ScaleCrop>false</ScaleCrop>
  <HeadingPairs>
    <vt:vector size="2" baseType="variant">
      <vt:variant>
        <vt:lpstr>Título</vt:lpstr>
      </vt:variant>
      <vt:variant>
        <vt:i4>1</vt:i4>
      </vt:variant>
    </vt:vector>
  </HeadingPairs>
  <TitlesOfParts>
    <vt:vector size="1" baseType="lpstr">
      <vt:lpstr>Paper</vt:lpstr>
    </vt:vector>
  </TitlesOfParts>
  <Company>The Conference Company</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Paula Verônica Antunes Garanito</cp:lastModifiedBy>
  <cp:revision>4</cp:revision>
  <dcterms:created xsi:type="dcterms:W3CDTF">2018-12-19T01:05:00Z</dcterms:created>
  <dcterms:modified xsi:type="dcterms:W3CDTF">2018-12-19T01:11:00Z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