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64CFAEDF" w:rsidR="001564A4" w:rsidRPr="00E80142" w:rsidRDefault="0023399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E8014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Mouse precision-cut lung slices as a novel model of early bacterial infection with Methicillin-resistant Staphylococcus aureus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344E730" w:rsidR="001564A4" w:rsidRPr="00F50996" w:rsidRDefault="00F50996" w:rsidP="00F50996">
            <w:pPr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50996">
              <w:rPr>
                <w:rFonts w:ascii="Arial" w:hAnsi="Arial" w:cs="Arial"/>
                <w:sz w:val="21"/>
                <w:szCs w:val="21"/>
                <w:lang w:val="en-AU"/>
              </w:rPr>
              <w:t>Jane E Bourke</w:t>
            </w:r>
            <w:r w:rsidRPr="00F50996">
              <w:rPr>
                <w:rFonts w:ascii="Arial" w:hAnsi="Arial" w:cs="Arial"/>
                <w:sz w:val="21"/>
                <w:szCs w:val="21"/>
                <w:vertAlign w:val="superscript"/>
                <w:lang w:val="en-AU"/>
              </w:rPr>
              <w:t>1</w:t>
            </w:r>
            <w:r w:rsidRPr="00F50996">
              <w:rPr>
                <w:rFonts w:ascii="Arial" w:hAnsi="Arial" w:cs="Arial"/>
                <w:sz w:val="21"/>
                <w:szCs w:val="21"/>
                <w:lang w:val="en-AU"/>
              </w:rPr>
              <w:t>, Evelyn Zhang</w:t>
            </w:r>
            <w:r w:rsidRPr="00F50996">
              <w:rPr>
                <w:rFonts w:ascii="Arial" w:hAnsi="Arial" w:cs="Arial"/>
                <w:sz w:val="21"/>
                <w:szCs w:val="21"/>
                <w:vertAlign w:val="superscript"/>
                <w:lang w:val="en-AU"/>
              </w:rPr>
              <w:t>1</w:t>
            </w:r>
            <w:r w:rsidRPr="00F50996">
              <w:rPr>
                <w:rFonts w:ascii="Arial" w:hAnsi="Arial" w:cs="Arial"/>
                <w:sz w:val="21"/>
                <w:szCs w:val="21"/>
                <w:lang w:val="en-AU"/>
              </w:rPr>
              <w:t>, Joshua Nickson</w:t>
            </w:r>
            <w:r w:rsidRPr="00F50996">
              <w:rPr>
                <w:rFonts w:ascii="Arial" w:hAnsi="Arial" w:cs="Arial"/>
                <w:sz w:val="21"/>
                <w:szCs w:val="21"/>
                <w:vertAlign w:val="superscript"/>
                <w:lang w:val="en-AU"/>
              </w:rPr>
              <w:t>1,2</w:t>
            </w:r>
            <w:r w:rsidRPr="00F50996">
              <w:rPr>
                <w:rFonts w:ascii="Arial" w:hAnsi="Arial" w:cs="Arial"/>
                <w:sz w:val="21"/>
                <w:szCs w:val="21"/>
                <w:lang w:val="en-AU"/>
              </w:rPr>
              <w:t>, William Studley</w:t>
            </w:r>
            <w:r w:rsidRPr="00F50996">
              <w:rPr>
                <w:rFonts w:ascii="Arial" w:hAnsi="Arial" w:cs="Arial"/>
                <w:sz w:val="21"/>
                <w:szCs w:val="21"/>
                <w:vertAlign w:val="superscript"/>
                <w:lang w:val="en-AU"/>
              </w:rPr>
              <w:t>1</w:t>
            </w:r>
            <w:r w:rsidRPr="00F50996">
              <w:rPr>
                <w:rFonts w:ascii="Arial" w:hAnsi="Arial" w:cs="Arial"/>
                <w:sz w:val="21"/>
                <w:szCs w:val="21"/>
                <w:lang w:val="en-AU"/>
              </w:rPr>
              <w:t>, Jennifer Payne</w:t>
            </w:r>
            <w:r w:rsidRPr="00F50996">
              <w:rPr>
                <w:rFonts w:ascii="Arial" w:hAnsi="Arial" w:cs="Arial"/>
                <w:sz w:val="21"/>
                <w:szCs w:val="21"/>
                <w:vertAlign w:val="superscript"/>
                <w:lang w:val="en-AU"/>
              </w:rPr>
              <w:t>1</w:t>
            </w:r>
            <w:r w:rsidRPr="00F50996">
              <w:rPr>
                <w:rFonts w:ascii="Arial" w:hAnsi="Arial" w:cs="Arial"/>
                <w:sz w:val="21"/>
                <w:szCs w:val="21"/>
                <w:lang w:val="en-AU"/>
              </w:rPr>
              <w:t>, Max Cryle</w:t>
            </w:r>
            <w:r w:rsidRPr="00F50996">
              <w:rPr>
                <w:rFonts w:ascii="Arial" w:hAnsi="Arial" w:cs="Arial"/>
                <w:sz w:val="21"/>
                <w:szCs w:val="21"/>
                <w:vertAlign w:val="superscript"/>
                <w:lang w:val="en-AU"/>
              </w:rPr>
              <w:t>1</w:t>
            </w:r>
            <w:r w:rsidRPr="00F50996">
              <w:rPr>
                <w:rFonts w:ascii="Arial" w:hAnsi="Arial" w:cs="Arial"/>
                <w:sz w:val="21"/>
                <w:szCs w:val="21"/>
                <w:lang w:val="en-AU"/>
              </w:rPr>
              <w:t>, Thomas Naderer</w:t>
            </w:r>
            <w:r w:rsidRPr="00F50996">
              <w:rPr>
                <w:rFonts w:ascii="Arial" w:hAnsi="Arial" w:cs="Arial"/>
                <w:sz w:val="21"/>
                <w:szCs w:val="21"/>
                <w:vertAlign w:val="superscript"/>
                <w:lang w:val="en-AU"/>
              </w:rPr>
              <w:t>1,2</w:t>
            </w:r>
            <w:r w:rsidRPr="00F50996">
              <w:rPr>
                <w:rFonts w:ascii="Arial" w:hAnsi="Arial" w:cs="Arial"/>
                <w:sz w:val="21"/>
                <w:szCs w:val="21"/>
                <w:lang w:val="en-AU"/>
              </w:rPr>
              <w:t>, Chris Greening</w:t>
            </w:r>
            <w:r w:rsidRPr="00F50996">
              <w:rPr>
                <w:rFonts w:ascii="Arial" w:hAnsi="Arial" w:cs="Arial"/>
                <w:sz w:val="21"/>
                <w:szCs w:val="21"/>
                <w:vertAlign w:val="superscript"/>
                <w:lang w:val="en-AU"/>
              </w:rPr>
              <w:t>1,2</w:t>
            </w:r>
            <w:r w:rsidRPr="00F50996">
              <w:rPr>
                <w:rFonts w:ascii="Arial" w:hAnsi="Arial" w:cs="Arial"/>
                <w:sz w:val="21"/>
                <w:szCs w:val="21"/>
                <w:lang w:val="en-AU"/>
              </w:rPr>
              <w:t>, Thomas Watts</w:t>
            </w:r>
            <w:r w:rsidRPr="00F50996">
              <w:rPr>
                <w:rFonts w:ascii="Arial" w:hAnsi="Arial" w:cs="Arial"/>
                <w:sz w:val="21"/>
                <w:szCs w:val="21"/>
                <w:vertAlign w:val="superscript"/>
                <w:lang w:val="en-AU"/>
              </w:rPr>
              <w:t>1,2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5ED36BF" w14:textId="210E133D" w:rsidR="001564A4" w:rsidRPr="00E80142" w:rsidRDefault="001564A4" w:rsidP="0078643B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E8014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33993" w:rsidRPr="00E8014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Biomedicine Discovery Institute</w:t>
            </w:r>
            <w:r w:rsidR="0078643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and </w:t>
            </w:r>
            <w:r w:rsidRPr="00E8014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78643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to Impact Antimicrobial Resistance, M</w:t>
            </w:r>
            <w:r w:rsidR="0078643B" w:rsidRPr="00E8014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onash University, Clayton, VIC, Australia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E80142" w:rsidRDefault="001564A4" w:rsidP="000A28E2">
            <w:pPr>
              <w:pStyle w:val="Pa12"/>
              <w:rPr>
                <w:rStyle w:val="A4"/>
              </w:rPr>
            </w:pPr>
            <w:r w:rsidRPr="00E80142">
              <w:rPr>
                <w:rStyle w:val="A4"/>
                <w:b/>
                <w:bCs/>
              </w:rPr>
              <w:t xml:space="preserve">Introduction/Aim: </w:t>
            </w:r>
          </w:p>
          <w:p w14:paraId="3261B8EE" w14:textId="5DC44461" w:rsidR="00E80142" w:rsidRPr="0078643B" w:rsidRDefault="00233993" w:rsidP="000A28E2">
            <w:pPr>
              <w:pStyle w:val="Pa12"/>
              <w:rPr>
                <w:rStyle w:val="A4"/>
                <w:color w:val="auto"/>
              </w:rPr>
            </w:pPr>
            <w:r w:rsidRPr="00E80142">
              <w:rPr>
                <w:color w:val="0E101A"/>
                <w:sz w:val="22"/>
                <w:szCs w:val="22"/>
              </w:rPr>
              <w:t xml:space="preserve">Methicillin-resistant </w:t>
            </w:r>
            <w:r w:rsidRPr="00E80142">
              <w:rPr>
                <w:rStyle w:val="Emphasis"/>
                <w:color w:val="0E101A"/>
                <w:sz w:val="22"/>
                <w:szCs w:val="22"/>
              </w:rPr>
              <w:t>Staphylococcus aureus</w:t>
            </w:r>
            <w:r w:rsidRPr="00E80142">
              <w:rPr>
                <w:color w:val="0E101A"/>
                <w:sz w:val="22"/>
                <w:szCs w:val="22"/>
              </w:rPr>
              <w:t xml:space="preserve"> (MRSA) is a feature of both hospital- and community-acquired pneumonia, but translatable models to investigate early pathogenesis </w:t>
            </w:r>
            <w:r w:rsidR="0034088D">
              <w:rPr>
                <w:color w:val="0E101A"/>
                <w:sz w:val="22"/>
                <w:szCs w:val="22"/>
              </w:rPr>
              <w:t xml:space="preserve">and potential treatments </w:t>
            </w:r>
            <w:r w:rsidRPr="00E80142">
              <w:rPr>
                <w:color w:val="0E101A"/>
                <w:sz w:val="22"/>
                <w:szCs w:val="22"/>
              </w:rPr>
              <w:t>are limited. Precision-cut lung slices (PCLS)</w:t>
            </w:r>
            <w:r w:rsidR="00736D4F">
              <w:rPr>
                <w:color w:val="0E101A"/>
                <w:sz w:val="22"/>
                <w:szCs w:val="22"/>
              </w:rPr>
              <w:t xml:space="preserve"> </w:t>
            </w:r>
            <w:r w:rsidRPr="00E80142">
              <w:rPr>
                <w:color w:val="0E101A"/>
                <w:sz w:val="22"/>
                <w:szCs w:val="22"/>
              </w:rPr>
              <w:t xml:space="preserve">may provide a </w:t>
            </w:r>
            <w:r w:rsidR="00E80142">
              <w:rPr>
                <w:color w:val="0E101A"/>
                <w:sz w:val="22"/>
                <w:szCs w:val="22"/>
              </w:rPr>
              <w:t xml:space="preserve">novel </w:t>
            </w:r>
            <w:r w:rsidRPr="00E80142">
              <w:rPr>
                <w:color w:val="0E101A"/>
                <w:sz w:val="22"/>
                <w:szCs w:val="22"/>
              </w:rPr>
              <w:t xml:space="preserve">approach for dynamic time-course studies </w:t>
            </w:r>
            <w:r w:rsidR="00F50996">
              <w:rPr>
                <w:color w:val="0E101A"/>
                <w:sz w:val="22"/>
                <w:szCs w:val="22"/>
              </w:rPr>
              <w:t>of</w:t>
            </w:r>
            <w:r w:rsidRPr="00E80142">
              <w:rPr>
                <w:color w:val="0E101A"/>
                <w:sz w:val="22"/>
                <w:szCs w:val="22"/>
              </w:rPr>
              <w:t xml:space="preserve"> MRSA infection </w:t>
            </w:r>
            <w:r w:rsidR="00E80142">
              <w:rPr>
                <w:color w:val="0E101A"/>
                <w:sz w:val="22"/>
                <w:szCs w:val="22"/>
              </w:rPr>
              <w:t xml:space="preserve">with </w:t>
            </w:r>
            <w:r w:rsidR="00E80142" w:rsidRPr="00E80142">
              <w:rPr>
                <w:color w:val="0E101A"/>
                <w:sz w:val="22"/>
                <w:szCs w:val="22"/>
              </w:rPr>
              <w:t xml:space="preserve">higher throughput </w:t>
            </w:r>
            <w:r w:rsidR="0034088D">
              <w:rPr>
                <w:color w:val="0E101A"/>
                <w:sz w:val="22"/>
                <w:szCs w:val="22"/>
              </w:rPr>
              <w:t>than</w:t>
            </w:r>
            <w:r w:rsidRPr="00E80142">
              <w:rPr>
                <w:color w:val="0E101A"/>
                <w:sz w:val="22"/>
                <w:szCs w:val="22"/>
              </w:rPr>
              <w:t xml:space="preserve"> </w:t>
            </w:r>
            <w:r w:rsidRPr="00E80142">
              <w:rPr>
                <w:i/>
                <w:iCs/>
                <w:color w:val="0E101A"/>
                <w:sz w:val="22"/>
                <w:szCs w:val="22"/>
              </w:rPr>
              <w:t>in vivo</w:t>
            </w:r>
            <w:r w:rsidRPr="00E80142">
              <w:rPr>
                <w:color w:val="0E101A"/>
                <w:sz w:val="22"/>
                <w:szCs w:val="22"/>
              </w:rPr>
              <w:t xml:space="preserve"> </w:t>
            </w:r>
            <w:r w:rsidR="0034088D">
              <w:rPr>
                <w:color w:val="0E101A"/>
                <w:sz w:val="22"/>
                <w:szCs w:val="22"/>
              </w:rPr>
              <w:t xml:space="preserve">mouse </w:t>
            </w:r>
            <w:r w:rsidRPr="00E80142">
              <w:rPr>
                <w:color w:val="0E101A"/>
                <w:sz w:val="22"/>
                <w:szCs w:val="22"/>
              </w:rPr>
              <w:t>models</w:t>
            </w:r>
            <w:r w:rsidR="0078643B" w:rsidRPr="0078643B">
              <w:rPr>
                <w:color w:val="0E101A"/>
                <w:sz w:val="22"/>
                <w:szCs w:val="22"/>
              </w:rPr>
              <w:t>.</w:t>
            </w:r>
          </w:p>
          <w:p w14:paraId="1B39336E" w14:textId="7F7E7BD6" w:rsidR="001564A4" w:rsidRPr="00E80142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E80142">
              <w:rPr>
                <w:rStyle w:val="A4"/>
                <w:b/>
                <w:bCs/>
              </w:rPr>
              <w:t xml:space="preserve">Methods: </w:t>
            </w:r>
          </w:p>
          <w:p w14:paraId="08EC5EA1" w14:textId="4D8017C0" w:rsidR="0078643B" w:rsidRPr="0078643B" w:rsidRDefault="00736D4F" w:rsidP="0078643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E101A"/>
                <w:sz w:val="22"/>
                <w:szCs w:val="22"/>
              </w:rPr>
            </w:pPr>
            <w:r w:rsidRPr="00736D4F">
              <w:rPr>
                <w:rFonts w:ascii="Arial" w:hAnsi="Arial" w:cs="Arial"/>
                <w:color w:val="0E101A"/>
                <w:sz w:val="22"/>
                <w:szCs w:val="22"/>
              </w:rPr>
              <w:t>T</w:t>
            </w:r>
            <w:r w:rsidRPr="00736D4F">
              <w:rPr>
                <w:rFonts w:ascii="Arial" w:hAnsi="Arial" w:cs="Arial"/>
                <w:color w:val="0E101A"/>
                <w:sz w:val="22"/>
                <w:szCs w:val="22"/>
              </w:rPr>
              <w:t>o establish infection</w:t>
            </w:r>
            <w:r w:rsidRPr="00736D4F">
              <w:rPr>
                <w:rFonts w:ascii="Arial" w:hAnsi="Arial" w:cs="Arial"/>
                <w:color w:val="0E101A"/>
                <w:sz w:val="22"/>
                <w:szCs w:val="22"/>
              </w:rPr>
              <w:t>,</w:t>
            </w:r>
            <w:r w:rsidRPr="00736D4F">
              <w:rPr>
                <w:rFonts w:ascii="Arial" w:hAnsi="Arial" w:cs="Arial"/>
                <w:color w:val="0E101A"/>
                <w:sz w:val="22"/>
                <w:szCs w:val="22"/>
              </w:rPr>
              <w:t xml:space="preserve"> </w:t>
            </w:r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 xml:space="preserve">PCLS from 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>agarose-inflated lungs of male C57BL/6 mice</w:t>
            </w:r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 xml:space="preserve"> (8 -10 weeks old) 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were incubated </w:t>
            </w:r>
            <w:r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>for 2h</w:t>
            </w:r>
            <w:r w:rsidRPr="0078643B">
              <w:rPr>
                <w:rFonts w:ascii="Arial" w:hAnsi="Arial" w:cs="Arial"/>
                <w:color w:val="0E101A"/>
                <w:sz w:val="22"/>
                <w:szCs w:val="22"/>
              </w:rPr>
              <w:t xml:space="preserve"> </w:t>
            </w:r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>with MRSA (</w:t>
            </w:r>
            <w:proofErr w:type="spellStart"/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>dsRED</w:t>
            </w:r>
            <w:proofErr w:type="spellEnd"/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 xml:space="preserve">-labelled, 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>10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  <w:vertAlign w:val="superscript"/>
              </w:rPr>
              <w:t>5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 colony-forming units (CFU)) and transferred to fresh media. Up to 48h post-infection (</w:t>
            </w:r>
            <w:proofErr w:type="spellStart"/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>hpi</w:t>
            </w:r>
            <w:proofErr w:type="spellEnd"/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), </w:t>
            </w:r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>MRSA were visualised under fluorescent microscopy</w:t>
            </w:r>
            <w:r w:rsidR="0034088D">
              <w:rPr>
                <w:rFonts w:ascii="Arial" w:hAnsi="Arial" w:cs="Arial"/>
                <w:color w:val="0E101A"/>
                <w:sz w:val="22"/>
                <w:szCs w:val="22"/>
              </w:rPr>
              <w:t xml:space="preserve"> or </w:t>
            </w:r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>quantitated as CFU</w:t>
            </w:r>
            <w:r w:rsidR="0034088D">
              <w:rPr>
                <w:rFonts w:ascii="Arial" w:hAnsi="Arial" w:cs="Arial"/>
                <w:color w:val="0E101A"/>
                <w:sz w:val="22"/>
                <w:szCs w:val="22"/>
              </w:rPr>
              <w:t xml:space="preserve"> in </w:t>
            </w:r>
            <w:r w:rsidR="005E4B46">
              <w:rPr>
                <w:rFonts w:ascii="Arial" w:hAnsi="Arial" w:cs="Arial"/>
                <w:color w:val="0E101A"/>
                <w:sz w:val="22"/>
                <w:szCs w:val="22"/>
              </w:rPr>
              <w:t xml:space="preserve">intact </w:t>
            </w:r>
            <w:r w:rsidR="005E4B46">
              <w:rPr>
                <w:rFonts w:ascii="Arial" w:hAnsi="Arial" w:cs="Arial"/>
                <w:color w:val="0E101A"/>
                <w:sz w:val="22"/>
                <w:szCs w:val="22"/>
              </w:rPr>
              <w:t xml:space="preserve">or </w:t>
            </w:r>
            <w:r w:rsidR="0034088D">
              <w:rPr>
                <w:rFonts w:ascii="Arial" w:hAnsi="Arial" w:cs="Arial"/>
                <w:color w:val="0E101A"/>
                <w:sz w:val="22"/>
                <w:szCs w:val="22"/>
              </w:rPr>
              <w:t>hom</w:t>
            </w:r>
            <w:r w:rsidR="005E4B46">
              <w:rPr>
                <w:rFonts w:ascii="Arial" w:hAnsi="Arial" w:cs="Arial"/>
                <w:color w:val="0E101A"/>
                <w:sz w:val="22"/>
                <w:szCs w:val="22"/>
              </w:rPr>
              <w:t>o</w:t>
            </w:r>
            <w:r w:rsidR="0034088D">
              <w:rPr>
                <w:rFonts w:ascii="Arial" w:hAnsi="Arial" w:cs="Arial"/>
                <w:color w:val="0E101A"/>
                <w:sz w:val="22"/>
                <w:szCs w:val="22"/>
              </w:rPr>
              <w:t>genised PCLS. MRSA</w:t>
            </w:r>
            <w:r w:rsidR="005E4B46">
              <w:rPr>
                <w:rFonts w:ascii="Arial" w:hAnsi="Arial" w:cs="Arial"/>
                <w:color w:val="0E101A"/>
                <w:sz w:val="22"/>
                <w:szCs w:val="22"/>
              </w:rPr>
              <w:t xml:space="preserve"> association</w:t>
            </w:r>
            <w:r w:rsidR="0034088D">
              <w:rPr>
                <w:rFonts w:ascii="Arial" w:hAnsi="Arial" w:cs="Arial"/>
                <w:color w:val="0E101A"/>
                <w:sz w:val="22"/>
                <w:szCs w:val="22"/>
              </w:rPr>
              <w:t xml:space="preserve"> </w:t>
            </w:r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 xml:space="preserve">with alveolar macrophages (AMs) and dendritic cells (DCs) </w:t>
            </w:r>
            <w:r w:rsidR="0034088D">
              <w:rPr>
                <w:rFonts w:ascii="Arial" w:hAnsi="Arial" w:cs="Arial"/>
                <w:color w:val="0E101A"/>
                <w:sz w:val="22"/>
                <w:szCs w:val="22"/>
              </w:rPr>
              <w:t xml:space="preserve">was </w:t>
            </w:r>
            <w:r w:rsidR="005E4B46">
              <w:rPr>
                <w:rFonts w:ascii="Arial" w:hAnsi="Arial" w:cs="Arial"/>
                <w:color w:val="0E101A"/>
                <w:sz w:val="22"/>
                <w:szCs w:val="22"/>
              </w:rPr>
              <w:t>detected</w:t>
            </w:r>
            <w:r w:rsidR="0034088D">
              <w:rPr>
                <w:rFonts w:ascii="Arial" w:hAnsi="Arial" w:cs="Arial"/>
                <w:color w:val="0E101A"/>
                <w:sz w:val="22"/>
                <w:szCs w:val="22"/>
              </w:rPr>
              <w:t xml:space="preserve"> by </w:t>
            </w:r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>flow cytometry</w:t>
            </w:r>
            <w:r>
              <w:rPr>
                <w:rFonts w:ascii="Arial" w:hAnsi="Arial" w:cs="Arial"/>
                <w:color w:val="0E101A"/>
                <w:sz w:val="22"/>
                <w:szCs w:val="22"/>
              </w:rPr>
              <w:t>.</w:t>
            </w:r>
            <w:r w:rsidR="0078643B" w:rsidRPr="0078643B">
              <w:rPr>
                <w:rFonts w:ascii="Arial" w:hAnsi="Arial" w:cs="Arial"/>
                <w:color w:val="0E101A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E101A"/>
                <w:sz w:val="22"/>
                <w:szCs w:val="22"/>
              </w:rPr>
              <w:t>M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edia </w:t>
            </w:r>
            <w:r w:rsidR="0034088D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was 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>assayed for lactate dehydrogenase activity (viability</w:t>
            </w:r>
            <w:r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 measure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) </w:t>
            </w:r>
            <w:r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or 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cytokines by </w:t>
            </w:r>
            <w:proofErr w:type="spellStart"/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  <w:highlight w:val="white"/>
              </w:rPr>
              <w:t>BioLegend</w:t>
            </w:r>
            <w:proofErr w:type="spellEnd"/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  <w:highlight w:val="white"/>
              </w:rPr>
              <w:t>LEGENDplex</w:t>
            </w:r>
            <w:proofErr w:type="spellEnd"/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  <w:highlight w:val="white"/>
              </w:rPr>
              <w:t>™</w:t>
            </w:r>
            <w:r>
              <w:rPr>
                <w:rFonts w:ascii="Arial" w:eastAsia="Arial" w:hAnsi="Arial" w:cs="Arial"/>
                <w:color w:val="0E101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E101A"/>
                <w:sz w:val="22"/>
                <w:szCs w:val="22"/>
              </w:rPr>
              <w:t>iinflammation</w:t>
            </w:r>
            <w:proofErr w:type="spellEnd"/>
            <w:r>
              <w:rPr>
                <w:rFonts w:ascii="Arial" w:eastAsia="Arial" w:hAnsi="Arial" w:cs="Arial"/>
                <w:color w:val="0E101A"/>
                <w:sz w:val="22"/>
                <w:szCs w:val="22"/>
              </w:rPr>
              <w:t>)</w:t>
            </w:r>
            <w:r w:rsidR="0034088D">
              <w:rPr>
                <w:rFonts w:ascii="Arial" w:eastAsia="Arial" w:hAnsi="Arial" w:cs="Arial"/>
                <w:color w:val="0E101A"/>
                <w:sz w:val="22"/>
                <w:szCs w:val="22"/>
              </w:rPr>
              <w:t>.</w:t>
            </w:r>
          </w:p>
          <w:p w14:paraId="6BF3F094" w14:textId="77777777" w:rsidR="001564A4" w:rsidRPr="0078643B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78643B">
              <w:rPr>
                <w:rStyle w:val="A4"/>
                <w:b/>
                <w:bCs/>
              </w:rPr>
              <w:t xml:space="preserve">Results: </w:t>
            </w:r>
          </w:p>
          <w:p w14:paraId="68537800" w14:textId="3CD62898" w:rsidR="001564A4" w:rsidRPr="0078643B" w:rsidRDefault="00584720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rFonts w:eastAsia="Calibri"/>
                <w:color w:val="0E101A"/>
                <w:sz w:val="22"/>
                <w:szCs w:val="22"/>
              </w:rPr>
              <w:t>V</w:t>
            </w:r>
            <w:r w:rsidR="0078643B" w:rsidRPr="0078643B">
              <w:rPr>
                <w:rFonts w:eastAsia="Calibri"/>
                <w:color w:val="0E101A"/>
                <w:sz w:val="22"/>
                <w:szCs w:val="22"/>
              </w:rPr>
              <w:t>iability was similar in uninfected and infected PCLS. Diffuse</w:t>
            </w:r>
            <w:r w:rsidR="00736D4F">
              <w:rPr>
                <w:rFonts w:eastAsia="Calibri"/>
                <w:color w:val="0E101A"/>
                <w:sz w:val="22"/>
                <w:szCs w:val="22"/>
              </w:rPr>
              <w:t xml:space="preserve"> MRSA</w:t>
            </w:r>
            <w:r w:rsidR="0078643B" w:rsidRPr="0078643B">
              <w:rPr>
                <w:rFonts w:eastAsia="Calibri"/>
                <w:color w:val="0E101A"/>
                <w:sz w:val="22"/>
                <w:szCs w:val="22"/>
              </w:rPr>
              <w:t xml:space="preserve"> infection was evident across all structures</w:t>
            </w:r>
            <w:r w:rsidR="0034088D">
              <w:rPr>
                <w:rFonts w:eastAsia="Calibri"/>
                <w:color w:val="0E101A"/>
                <w:sz w:val="22"/>
                <w:szCs w:val="22"/>
              </w:rPr>
              <w:t xml:space="preserve"> (airways, arteries, parenchyma)</w:t>
            </w:r>
            <w:r w:rsidR="0078643B" w:rsidRPr="0078643B">
              <w:rPr>
                <w:rFonts w:eastAsia="Calibri"/>
                <w:color w:val="0E101A"/>
                <w:sz w:val="22"/>
                <w:szCs w:val="22"/>
              </w:rPr>
              <w:t xml:space="preserve"> in PCLS, increasing &gt;100,000 fold by 48hpi (n=6, P&lt;0.001). The </w:t>
            </w:r>
            <w:r w:rsidR="005E4B46">
              <w:rPr>
                <w:rFonts w:eastAsia="Calibri"/>
                <w:color w:val="0E101A"/>
                <w:sz w:val="22"/>
                <w:szCs w:val="22"/>
              </w:rPr>
              <w:t xml:space="preserve">increased </w:t>
            </w:r>
            <w:r w:rsidR="0078643B" w:rsidRPr="0078643B">
              <w:rPr>
                <w:rFonts w:eastAsia="Calibri"/>
                <w:color w:val="0E101A"/>
                <w:sz w:val="22"/>
                <w:szCs w:val="22"/>
              </w:rPr>
              <w:t>proportion of CD45</w:t>
            </w:r>
            <w:r w:rsidR="0078643B" w:rsidRPr="0078643B">
              <w:rPr>
                <w:rFonts w:eastAsia="Calibri"/>
                <w:color w:val="0E101A"/>
                <w:sz w:val="22"/>
                <w:szCs w:val="22"/>
                <w:vertAlign w:val="superscript"/>
              </w:rPr>
              <w:t>+</w:t>
            </w:r>
            <w:r w:rsidR="0078643B" w:rsidRPr="0078643B">
              <w:rPr>
                <w:rFonts w:eastAsia="Calibri"/>
                <w:color w:val="0E101A"/>
                <w:sz w:val="22"/>
                <w:szCs w:val="22"/>
              </w:rPr>
              <w:t xml:space="preserve"> immune cells associated with MRSA over time (24hpi 9±2%; 48hpi 74±10%, n=4, P&lt;0.05)</w:t>
            </w:r>
            <w:r w:rsidR="005E4B46">
              <w:rPr>
                <w:rFonts w:eastAsia="Calibri"/>
                <w:color w:val="0E101A"/>
                <w:sz w:val="22"/>
                <w:szCs w:val="22"/>
              </w:rPr>
              <w:t xml:space="preserve"> was </w:t>
            </w:r>
            <w:r w:rsidR="0078643B" w:rsidRPr="0078643B">
              <w:rPr>
                <w:rFonts w:eastAsia="Calibri"/>
                <w:color w:val="0E101A"/>
                <w:sz w:val="22"/>
                <w:szCs w:val="22"/>
              </w:rPr>
              <w:t xml:space="preserve">evident in AMs and DCs but not </w:t>
            </w:r>
            <w:r w:rsidR="0078643B" w:rsidRPr="0078643B">
              <w:rPr>
                <w:color w:val="0E101A"/>
                <w:sz w:val="22"/>
                <w:szCs w:val="22"/>
              </w:rPr>
              <w:t>non-phagocytic B cells</w:t>
            </w:r>
            <w:r w:rsidR="0078643B" w:rsidRPr="0078643B">
              <w:rPr>
                <w:rFonts w:eastAsia="Calibri"/>
                <w:color w:val="0E101A"/>
                <w:sz w:val="22"/>
                <w:szCs w:val="22"/>
              </w:rPr>
              <w:t>. TNF-α, GM-CSF and IL-6 were increased in MRSA-infected PCLS within 24hpi (n=6, P&lt;0.05)</w:t>
            </w:r>
            <w:r w:rsidR="005E4B46">
              <w:rPr>
                <w:rFonts w:eastAsia="Calibri"/>
                <w:color w:val="0E101A"/>
                <w:sz w:val="22"/>
                <w:szCs w:val="22"/>
              </w:rPr>
              <w:t>.</w:t>
            </w:r>
          </w:p>
          <w:p w14:paraId="652F7BE1" w14:textId="77777777" w:rsidR="001564A4" w:rsidRPr="0078643B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78643B">
              <w:rPr>
                <w:rStyle w:val="A4"/>
                <w:b/>
                <w:bCs/>
              </w:rPr>
              <w:t xml:space="preserve">Conclusion: </w:t>
            </w:r>
          </w:p>
          <w:p w14:paraId="10671739" w14:textId="124EE43B" w:rsidR="0078643B" w:rsidRPr="0078643B" w:rsidRDefault="005E4B46" w:rsidP="0078643B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color w:val="0E101A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E101A"/>
                <w:sz w:val="22"/>
                <w:szCs w:val="22"/>
              </w:rPr>
              <w:t>M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ouse 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PCLS </w:t>
            </w:r>
            <w:r>
              <w:rPr>
                <w:rFonts w:ascii="Arial" w:eastAsia="Calibri" w:hAnsi="Arial" w:cs="Arial"/>
                <w:color w:val="0E101A"/>
                <w:sz w:val="22"/>
                <w:szCs w:val="22"/>
              </w:rPr>
              <w:t>provide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 an </w:t>
            </w:r>
            <w:r w:rsidR="0078643B" w:rsidRPr="0078643B">
              <w:rPr>
                <w:rFonts w:ascii="Arial" w:eastAsia="Calibri" w:hAnsi="Arial" w:cs="Arial"/>
                <w:i/>
                <w:iCs/>
                <w:color w:val="0E101A"/>
                <w:sz w:val="22"/>
                <w:szCs w:val="22"/>
              </w:rPr>
              <w:t>ex vivo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 xml:space="preserve"> model of MRSA infection involving intact resident immune cells and inflammation. Our findings support the future application of human PCLS for the assessment of drugs to prevent infection or limit </w:t>
            </w:r>
            <w:r w:rsidR="0078643B" w:rsidRPr="0078643B">
              <w:rPr>
                <w:rFonts w:ascii="Arial" w:hAnsi="Arial" w:cs="Arial"/>
                <w:sz w:val="22"/>
                <w:szCs w:val="22"/>
              </w:rPr>
              <w:t xml:space="preserve">replication </w:t>
            </w:r>
            <w:r w:rsidR="0078643B" w:rsidRPr="0078643B">
              <w:rPr>
                <w:rFonts w:ascii="Arial" w:eastAsia="Calibri" w:hAnsi="Arial" w:cs="Arial"/>
                <w:color w:val="0E101A"/>
                <w:sz w:val="22"/>
                <w:szCs w:val="22"/>
              </w:rPr>
              <w:t>of resistant bacterial strains.</w:t>
            </w:r>
          </w:p>
          <w:p w14:paraId="69B04572" w14:textId="77777777" w:rsidR="001564A4" w:rsidRPr="00E80142" w:rsidRDefault="001564A4" w:rsidP="000A28E2">
            <w:pPr>
              <w:pStyle w:val="Pa12"/>
              <w:rPr>
                <w:sz w:val="22"/>
                <w:szCs w:val="22"/>
              </w:rPr>
            </w:pPr>
            <w:r w:rsidRPr="00E80142">
              <w:rPr>
                <w:sz w:val="22"/>
                <w:szCs w:val="22"/>
              </w:rPr>
              <w:br/>
            </w:r>
          </w:p>
          <w:p w14:paraId="2A651708" w14:textId="77777777" w:rsidR="001564A4" w:rsidRPr="00E80142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7777777" w:rsidR="001564A4" w:rsidRPr="00E80142" w:rsidRDefault="001564A4" w:rsidP="000A28E2">
            <w:pPr>
              <w:pStyle w:val="Pa12"/>
              <w:rPr>
                <w:rStyle w:val="A4"/>
                <w:bCs/>
              </w:rPr>
            </w:pPr>
            <w:r w:rsidRPr="00E80142">
              <w:rPr>
                <w:rStyle w:val="A4"/>
                <w:bCs/>
              </w:rPr>
              <w:t xml:space="preserve"> </w:t>
            </w:r>
          </w:p>
          <w:p w14:paraId="196E7BAC" w14:textId="77777777" w:rsidR="001564A4" w:rsidRPr="00E80142" w:rsidRDefault="001564A4" w:rsidP="000A28E2">
            <w:pPr>
              <w:pStyle w:val="Pa12"/>
              <w:rPr>
                <w:rStyle w:val="A4"/>
                <w:bCs/>
              </w:rPr>
            </w:pPr>
            <w:r w:rsidRPr="00E80142">
              <w:rPr>
                <w:rStyle w:val="A4"/>
                <w:bCs/>
              </w:rPr>
              <w:br/>
            </w:r>
          </w:p>
          <w:p w14:paraId="3E8B4283" w14:textId="3AED5B32" w:rsidR="001564A4" w:rsidRPr="00E80142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E80142">
              <w:rPr>
                <w:rStyle w:val="A4"/>
                <w:b/>
                <w:bCs/>
              </w:rPr>
              <w:t xml:space="preserve">Grant Support: </w:t>
            </w:r>
            <w:r w:rsidR="0010058B" w:rsidRPr="00E80142">
              <w:rPr>
                <w:rStyle w:val="A4"/>
              </w:rPr>
              <w:t>Monash BDI Seeding Grant</w:t>
            </w:r>
          </w:p>
          <w:p w14:paraId="7F8381F0" w14:textId="77777777" w:rsidR="001564A4" w:rsidRPr="00E80142" w:rsidRDefault="001564A4" w:rsidP="000A28E2">
            <w:pPr>
              <w:pStyle w:val="Pa12"/>
              <w:rPr>
                <w:sz w:val="22"/>
                <w:szCs w:val="22"/>
              </w:rPr>
            </w:pP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  <w:r w:rsidRPr="00E80142">
              <w:rPr>
                <w:sz w:val="22"/>
                <w:szCs w:val="22"/>
              </w:rPr>
              <w:br/>
            </w:r>
          </w:p>
          <w:p w14:paraId="731CD908" w14:textId="77777777" w:rsidR="001564A4" w:rsidRPr="00E80142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E80142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E80142" w:rsidRDefault="001564A4" w:rsidP="000A28E2">
            <w:pPr>
              <w:pStyle w:val="Pa12"/>
              <w:rPr>
                <w:rStyle w:val="A4"/>
                <w:bCs/>
              </w:rPr>
            </w:pP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  <w:r w:rsidRPr="00E80142">
              <w:rPr>
                <w:rStyle w:val="A4"/>
                <w:bCs/>
              </w:rPr>
              <w:br/>
            </w:r>
          </w:p>
          <w:p w14:paraId="14DC37E4" w14:textId="77777777" w:rsidR="001564A4" w:rsidRPr="00E80142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E80142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  <w:r w:rsidRPr="00E80142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0058B"/>
    <w:rsid w:val="00131134"/>
    <w:rsid w:val="001564A4"/>
    <w:rsid w:val="00233993"/>
    <w:rsid w:val="0034088D"/>
    <w:rsid w:val="0051574E"/>
    <w:rsid w:val="00584720"/>
    <w:rsid w:val="005E4B46"/>
    <w:rsid w:val="00736D4F"/>
    <w:rsid w:val="0078643B"/>
    <w:rsid w:val="008626AF"/>
    <w:rsid w:val="008803FA"/>
    <w:rsid w:val="00B12E32"/>
    <w:rsid w:val="00B50D66"/>
    <w:rsid w:val="00E0700F"/>
    <w:rsid w:val="00E80142"/>
    <w:rsid w:val="00F5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Emphasis">
    <w:name w:val="Emphasis"/>
    <w:uiPriority w:val="20"/>
    <w:qFormat/>
    <w:rsid w:val="00233993"/>
    <w:rPr>
      <w:i/>
      <w:iCs/>
    </w:rPr>
  </w:style>
  <w:style w:type="paragraph" w:styleId="NormalWeb">
    <w:name w:val="Normal (Web)"/>
    <w:basedOn w:val="Normal"/>
    <w:uiPriority w:val="99"/>
    <w:unhideWhenUsed/>
    <w:rsid w:val="0078643B"/>
    <w:pPr>
      <w:spacing w:before="100" w:beforeAutospacing="1" w:after="100" w:afterAutospacing="1"/>
    </w:pPr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1882</Characters>
  <Application>Microsoft Office Word</Application>
  <DocSecurity>0</DocSecurity>
  <Lines>111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Jane Bourke</cp:lastModifiedBy>
  <cp:revision>2</cp:revision>
  <dcterms:created xsi:type="dcterms:W3CDTF">2023-10-19T03:16:00Z</dcterms:created>
  <dcterms:modified xsi:type="dcterms:W3CDTF">2023-10-19T03:16:00Z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