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10255D06" w:rsidR="00C8423A" w:rsidRPr="00654D67" w:rsidRDefault="00654D67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654D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19B1B9DF" w14:textId="77777777" w:rsidR="00C8423A" w:rsidRDefault="00EB5EF6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Kōrero </w:t>
            </w:r>
            <w:proofErr w:type="spellStart"/>
            <w:r w:rsidR="00CF3010">
              <w:rPr>
                <w:rFonts w:ascii="Arial" w:hAnsi="Arial" w:cs="Arial"/>
                <w:b/>
                <w:bCs/>
                <w:sz w:val="22"/>
                <w:szCs w:val="22"/>
              </w:rPr>
              <w:t>Kāpehu</w:t>
            </w:r>
            <w:proofErr w:type="spellEnd"/>
            <w:r w:rsidR="00CF3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Whenua planning for </w:t>
            </w:r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</w:t>
            </w:r>
            <w:proofErr w:type="spellStart"/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>Whakat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mi-NZ"/>
              </w:rPr>
              <w:t>ō</w:t>
            </w:r>
            <w:proofErr w:type="spellStart"/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>hea</w:t>
            </w:r>
            <w:proofErr w:type="spellEnd"/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2DF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ai </w:t>
            </w:r>
            <w:r w:rsidR="00812D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E73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ecurity </w:t>
            </w:r>
          </w:p>
          <w:p w14:paraId="3F7D1534" w14:textId="0D940999" w:rsidR="00654D67" w:rsidRPr="009C75AE" w:rsidRDefault="00654D67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8C3ABE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812DF1" w:rsidRDefault="00C8423A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1A5F05" w14:textId="77777777" w:rsidR="0065012F" w:rsidRPr="00812DF1" w:rsidRDefault="0065012F" w:rsidP="00706D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/>
                <w:sz w:val="22"/>
                <w:szCs w:val="22"/>
              </w:rPr>
              <w:t>Introduction</w:t>
            </w:r>
          </w:p>
          <w:p w14:paraId="22976BAF" w14:textId="1890AAA3" w:rsidR="00287FFD" w:rsidRPr="00812DF1" w:rsidRDefault="00812DF1" w:rsidP="00E9542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Our</w:t>
            </w:r>
            <w:r w:rsidR="00287FF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project </w:t>
            </w:r>
            <w:r w:rsidR="00AE73BA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tells the</w:t>
            </w:r>
            <w:r w:rsidR="00287FF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story of</w:t>
            </w:r>
            <w:r w:rsidR="00AE73BA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a whenua (land) planning process for kai (food) security led by Te Whakatōhea</w:t>
            </w:r>
            <w:r w:rsidR="008C3AB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, in partnership with Te Whare Wānaka o Aoraki Lincoln University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The project is founded in translating </w:t>
            </w:r>
            <w:r w:rsidR="00751917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Whakatōhea mātauranga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(indigenous knowledge) </w:t>
            </w:r>
            <w:r w:rsidR="00751917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kai growing </w:t>
            </w:r>
            <w:r w:rsidR="003B3D9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strategies developed during </w:t>
            </w:r>
            <w:r w:rsidR="00287FF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raupatu 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(land confiscation)</w:t>
            </w:r>
            <w:r w:rsidR="001912A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period when the iwi, facing immense food security challenges, adapted to forced resettlement on the </w:t>
            </w:r>
            <w:proofErr w:type="spellStart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Ōpape</w:t>
            </w:r>
            <w:proofErr w:type="spellEnd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Reserve</w:t>
            </w:r>
            <w:r w:rsidR="001912A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into contemporary </w:t>
            </w:r>
            <w:r w:rsidR="003B3D9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whenua planning </w:t>
            </w:r>
            <w:r w:rsidR="00EB5EF6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strategies </w:t>
            </w:r>
            <w:r w:rsidR="008A06F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address the </w:t>
            </w:r>
            <w:r w:rsidR="008A06FF" w:rsidRPr="00812DF1">
              <w:rPr>
                <w:rFonts w:asciiTheme="minorHAnsi" w:hAnsiTheme="minorHAnsi" w:cstheme="minorHAnsi"/>
                <w:sz w:val="22"/>
                <w:szCs w:val="22"/>
              </w:rPr>
              <w:t>food-water-biodiversity nexus</w:t>
            </w:r>
            <w:r w:rsidR="001912A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into the future.</w:t>
            </w:r>
            <w:r w:rsidR="003B3D9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Design Thinking approach was applied to prototype iwi-led whenua planning strategies, with the kōrero </w:t>
            </w:r>
            <w:proofErr w:type="spellStart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kāpehu</w:t>
            </w:r>
            <w:proofErr w:type="spellEnd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39A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(conversation compass)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created as a tool to navigate diverse and complex ideas.</w:t>
            </w:r>
          </w:p>
          <w:p w14:paraId="4806BFDB" w14:textId="77777777" w:rsidR="0065012F" w:rsidRPr="00812DF1" w:rsidRDefault="0065012F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E13B32" w14:textId="77777777" w:rsidR="0065012F" w:rsidRPr="00812DF1" w:rsidRDefault="0065012F" w:rsidP="00706D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/>
                <w:sz w:val="22"/>
                <w:szCs w:val="22"/>
              </w:rPr>
              <w:t>Objectives</w:t>
            </w:r>
          </w:p>
          <w:p w14:paraId="6F3DE6E0" w14:textId="10788FC3" w:rsidR="005A0BF8" w:rsidRPr="00812DF1" w:rsidRDefault="00E95424" w:rsidP="00EB5E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112C39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ffective w</w:t>
            </w:r>
            <w:r w:rsidR="00112C39" w:rsidRPr="00812DF1">
              <w:rPr>
                <w:rFonts w:asciiTheme="minorHAnsi" w:hAnsiTheme="minorHAnsi" w:cstheme="minorHAnsi"/>
                <w:bCs/>
                <w:sz w:val="22"/>
                <w:szCs w:val="22"/>
                <w:lang w:val="mi-NZ"/>
              </w:rPr>
              <w:t xml:space="preserve">ānanga (workshop) </w:t>
            </w:r>
            <w:r w:rsidR="00112C39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engagement tools are critical to inclusive dialogue with </w:t>
            </w:r>
            <w:proofErr w:type="spellStart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tangata</w:t>
            </w:r>
            <w:proofErr w:type="spellEnd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whenua </w:t>
            </w:r>
            <w:r w:rsidR="001912A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in urban adaptation and land use planning</w:t>
            </w:r>
            <w:r w:rsidR="00112C39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58FB8D34" w14:textId="31EC2B77" w:rsidR="005A0BF8" w:rsidRPr="00812DF1" w:rsidRDefault="005A0BF8" w:rsidP="00EB5E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This</w:t>
            </w:r>
            <w:r w:rsidR="001912A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project sought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enable a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wānanga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process that would engage Te </w:t>
            </w:r>
            <w:proofErr w:type="spellStart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Whakatōhea</w:t>
            </w:r>
            <w:proofErr w:type="spellEnd"/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wh</w:t>
            </w:r>
            <w:proofErr w:type="spellEnd"/>
            <w:r w:rsidR="00812DF1">
              <w:rPr>
                <w:rFonts w:asciiTheme="minorHAnsi" w:hAnsiTheme="minorHAnsi" w:cstheme="minorHAnsi"/>
                <w:bCs/>
                <w:sz w:val="22"/>
                <w:szCs w:val="22"/>
                <w:lang w:val="mi-NZ"/>
              </w:rPr>
              <w:t>ā</w:t>
            </w:r>
            <w:proofErr w:type="spellStart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nau</w:t>
            </w:r>
            <w:proofErr w:type="spellEnd"/>
            <w:r w:rsid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(members)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k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ō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rero and whenua planning</w:t>
            </w:r>
            <w:r w:rsid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key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objectives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being to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E848EBD" w14:textId="1E3DA06E" w:rsidR="005A0BF8" w:rsidRPr="00812DF1" w:rsidRDefault="005A0BF8" w:rsidP="005A0B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Understand traditional Te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Whakatōhea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approaches to kai security</w:t>
            </w:r>
          </w:p>
          <w:p w14:paraId="70DD5A37" w14:textId="02519F23" w:rsidR="005A0BF8" w:rsidRPr="00812DF1" w:rsidRDefault="005A0BF8" w:rsidP="005A0B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</w:t>
            </w:r>
            <w:r w:rsidR="00CF3010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wānanga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tools to engage with the complexity of kai security and </w:t>
            </w:r>
            <w:r w:rsid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set priorities</w:t>
            </w:r>
          </w:p>
          <w:p w14:paraId="6A3A8591" w14:textId="019562C1" w:rsidR="005A0BF8" w:rsidRPr="00812DF1" w:rsidRDefault="005A0BF8" w:rsidP="005A0BF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Collectively work together to develop </w:t>
            </w:r>
            <w:r w:rsidR="008A06F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nature-based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planning guidelines to increase kai security</w:t>
            </w:r>
          </w:p>
          <w:p w14:paraId="7DF7D437" w14:textId="77777777" w:rsidR="0065012F" w:rsidRPr="00812DF1" w:rsidRDefault="0065012F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7D2D05" w14:textId="4552866C" w:rsidR="0065012F" w:rsidRPr="00812DF1" w:rsidRDefault="00906B39" w:rsidP="00706D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/>
                <w:sz w:val="22"/>
                <w:szCs w:val="22"/>
              </w:rPr>
              <w:t>Methodology</w:t>
            </w:r>
          </w:p>
          <w:p w14:paraId="527F2865" w14:textId="302A40B6" w:rsidR="00FC619F" w:rsidRPr="00812DF1" w:rsidRDefault="005A0BF8" w:rsidP="005A0BF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A Design Thinking methodology was enlisted to support the project objectives, with the following research steps undertaken</w:t>
            </w:r>
          </w:p>
          <w:p w14:paraId="2F7B5997" w14:textId="2187AA59" w:rsidR="0026128D" w:rsidRPr="00812DF1" w:rsidRDefault="00FC619F" w:rsidP="0026128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Empathise - </w:t>
            </w:r>
            <w:r w:rsidR="00E9542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Interviews with Te Whakatōhea kaumātua</w:t>
            </w:r>
            <w:r w:rsidR="00F429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(elders)</w:t>
            </w:r>
            <w:r w:rsidR="00E9542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provide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E9542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foundation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al m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  <w:lang w:val="mi-NZ"/>
              </w:rPr>
              <w:t>ātauranga</w:t>
            </w:r>
            <w:r w:rsidR="00E9542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rom which the approach for whenua planning for kai security was set</w:t>
            </w:r>
          </w:p>
          <w:p w14:paraId="7E0B152B" w14:textId="6C9EE37C" w:rsidR="00FC619F" w:rsidRPr="00812DF1" w:rsidRDefault="00FC619F" w:rsidP="0026128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Define – the vision and aspirations </w:t>
            </w:r>
            <w:r w:rsidR="00EA5E1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kai security were defined by Te </w:t>
            </w:r>
            <w:r w:rsidR="0063421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Whakatōhea kaumātua</w:t>
            </w:r>
            <w:r w:rsidR="00F429E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A5E1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governance and </w:t>
            </w:r>
            <w:r w:rsidR="0063421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whānau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6F577D2" w14:textId="4ECEE2A9" w:rsidR="00EA5E1E" w:rsidRPr="00812DF1" w:rsidRDefault="003318A9" w:rsidP="00EA5E1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Ideate – </w:t>
            </w:r>
            <w:r w:rsidR="00EA5E1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Kai Security Kāpehu was developed and </w:t>
            </w:r>
            <w:r w:rsidR="0063421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utilised</w:t>
            </w:r>
            <w:r w:rsidR="00EA5E1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within </w:t>
            </w:r>
            <w:r w:rsidR="0063421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wānanga </w:t>
            </w:r>
            <w:r w:rsidR="00EA5E1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to bridge between ideas and planning actions</w:t>
            </w:r>
            <w:r w:rsidR="008A06F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addressing the </w:t>
            </w:r>
            <w:r w:rsidR="008A06FF" w:rsidRPr="00812DF1">
              <w:rPr>
                <w:rFonts w:asciiTheme="minorHAnsi" w:hAnsiTheme="minorHAnsi" w:cstheme="minorHAnsi"/>
                <w:sz w:val="22"/>
                <w:szCs w:val="22"/>
              </w:rPr>
              <w:t>food-water-biodiversity nexus</w:t>
            </w:r>
          </w:p>
          <w:p w14:paraId="322A297E" w14:textId="5D099C8A" w:rsidR="00EA5E1E" w:rsidRPr="00812DF1" w:rsidRDefault="00EA5E1E" w:rsidP="00EA5E1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Prototype – Spatial strategies for short and long whenua planning were devel</w:t>
            </w:r>
            <w:r w:rsidR="0063421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ped</w:t>
            </w:r>
          </w:p>
          <w:p w14:paraId="02741BDE" w14:textId="77777777" w:rsidR="00287FFD" w:rsidRPr="00812DF1" w:rsidRDefault="00287FFD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AA8AE" w14:textId="77777777" w:rsidR="0065012F" w:rsidRPr="00812DF1" w:rsidRDefault="0065012F" w:rsidP="00706D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/>
                <w:sz w:val="22"/>
                <w:szCs w:val="22"/>
              </w:rPr>
              <w:t>Findings</w:t>
            </w:r>
          </w:p>
          <w:p w14:paraId="63FC4A69" w14:textId="5865895B" w:rsidR="00630854" w:rsidRPr="00812DF1" w:rsidRDefault="0063421F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Findings showed that the Design Thinking methodology enabled Te Whakatōhea to engage effectively in the whenua planning process, supporting a place- and people-specific approach with clearly tangible outcomes for Te Whakatōhea.</w:t>
            </w:r>
            <w:r w:rsidR="00523B7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</w:t>
            </w:r>
            <w:r w:rsidR="008C3AB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Kai Security </w:t>
            </w:r>
            <w:proofErr w:type="spellStart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Kāpehu</w:t>
            </w:r>
            <w:proofErr w:type="spellEnd"/>
            <w:r w:rsidR="008C3AB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support</w:t>
            </w:r>
            <w:r w:rsidR="00523B7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ed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tangata</w:t>
            </w:r>
            <w:proofErr w:type="spellEnd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whenua </w:t>
            </w:r>
            <w:r w:rsidR="0039238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8C3AB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engage </w:t>
            </w:r>
            <w:r w:rsidR="00523B7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the complexity that surrounds </w:t>
            </w:r>
            <w:r w:rsidR="008A06FF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8A06FF" w:rsidRPr="00812DF1">
              <w:rPr>
                <w:rFonts w:asciiTheme="minorHAnsi" w:hAnsiTheme="minorHAnsi" w:cstheme="minorHAnsi"/>
                <w:sz w:val="22"/>
                <w:szCs w:val="22"/>
              </w:rPr>
              <w:t>food-water-biodiversity nexus</w:t>
            </w:r>
            <w:r w:rsidR="00523B7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enabling practical </w:t>
            </w:r>
            <w:r w:rsidR="008C3ABE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engagement across spatial and temporal scales.</w:t>
            </w:r>
            <w:r w:rsidR="00523B78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The tool effectively mediated the diverse goals of the rōpū, fostering rich kōrero and supporting the development of adaptive spatial strategies across multiple scales.</w:t>
            </w:r>
          </w:p>
          <w:p w14:paraId="6FD3497C" w14:textId="77777777" w:rsidR="00F804ED" w:rsidRDefault="00F804ED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2669F05C" w:rsidR="00C8423A" w:rsidRPr="008C3ABE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3AB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Significance of the work for policy and practice </w:t>
            </w:r>
          </w:p>
          <w:p w14:paraId="76A6C234" w14:textId="76CFD331" w:rsidR="008C3ABE" w:rsidRPr="00812DF1" w:rsidRDefault="00F429ED" w:rsidP="00706DE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proofErr w:type="spellStart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kāpehu</w:t>
            </w:r>
            <w:proofErr w:type="spellEnd"/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envisioned as a flexible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wānanga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tool that can be adapted and applied across various priority </w:t>
            </w:r>
            <w:r w:rsidRPr="00812DF1">
              <w:rPr>
                <w:rFonts w:asciiTheme="minorHAnsi" w:hAnsiTheme="minorHAnsi" w:cstheme="minorHAnsi"/>
                <w:sz w:val="22"/>
                <w:szCs w:val="22"/>
              </w:rPr>
              <w:t>land-based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adaptation planning areas, including housing, health,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land use, 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infrastructure</w:t>
            </w:r>
            <w:r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, to support planning-focussed wānanga.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D0578B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Design Thinking methodology 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was shown to support </w:t>
            </w:r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whānau kōrero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holistic and long-term 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whenua planning.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Applying the</w:t>
            </w:r>
            <w:r w:rsidR="00D0578B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āpehu</w:t>
            </w:r>
            <w:proofErr w:type="spellEnd"/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0578B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ithin a design-based </w:t>
            </w:r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wānanga</w:t>
            </w:r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allowed members of the </w:t>
            </w:r>
            <w:proofErr w:type="spellStart"/>
            <w:r w:rsidR="00F804ED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>rōpū</w:t>
            </w:r>
            <w:proofErr w:type="spellEnd"/>
            <w:r w:rsidR="00630854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153515" w:rsidRPr="00812D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discuss, challenge and apply ideas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within a place-based setting</w:t>
            </w:r>
            <w:r w:rsidR="003F05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international significance illustrating </w:t>
            </w:r>
            <w:r w:rsidR="003F05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process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professional and community-based groups can work together in decision-making, where local knowledge is </w:t>
            </w:r>
            <w:r w:rsidR="003F05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integrated and translated into tangible outcomes. </w:t>
            </w:r>
          </w:p>
          <w:p w14:paraId="1A078683" w14:textId="77777777" w:rsidR="00BE58D6" w:rsidRPr="008C3ABE" w:rsidRDefault="00BE58D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AA1BB4" w14:textId="77777777" w:rsidR="00BE58D6" w:rsidRPr="008C3ABE" w:rsidRDefault="00BE58D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BAECD6" w14:textId="729DADBB" w:rsidR="009F4EA0" w:rsidRPr="008C3ABE" w:rsidRDefault="009F4EA0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Default="009010B0" w:rsidP="00247C60"/>
    <w:p w14:paraId="2A26C652" w14:textId="77777777" w:rsidR="001C0ADD" w:rsidRDefault="001C0ADD" w:rsidP="00247C60"/>
    <w:p w14:paraId="1FB96EF1" w14:textId="77777777" w:rsidR="001C0ADD" w:rsidRPr="00C26081" w:rsidRDefault="001C0ADD" w:rsidP="00247C60"/>
    <w:sectPr w:rsidR="001C0ADD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D0B69"/>
    <w:multiLevelType w:val="hybridMultilevel"/>
    <w:tmpl w:val="EA2AF7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33"/>
    <w:multiLevelType w:val="hybridMultilevel"/>
    <w:tmpl w:val="9B86E3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7FBB"/>
    <w:multiLevelType w:val="hybridMultilevel"/>
    <w:tmpl w:val="94F6334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63E00"/>
    <w:multiLevelType w:val="hybridMultilevel"/>
    <w:tmpl w:val="A7C25E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5B18"/>
    <w:multiLevelType w:val="hybridMultilevel"/>
    <w:tmpl w:val="F1A034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64A09"/>
    <w:multiLevelType w:val="hybridMultilevel"/>
    <w:tmpl w:val="09125B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4E49"/>
    <w:multiLevelType w:val="hybridMultilevel"/>
    <w:tmpl w:val="0340205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66BB2"/>
    <w:multiLevelType w:val="hybridMultilevel"/>
    <w:tmpl w:val="36A01F7E"/>
    <w:lvl w:ilvl="0" w:tplc="11042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D5FCB"/>
    <w:multiLevelType w:val="hybridMultilevel"/>
    <w:tmpl w:val="453C7060"/>
    <w:lvl w:ilvl="0" w:tplc="3FEA7D6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10"/>
  </w:num>
  <w:num w:numId="3" w16cid:durableId="1316374630">
    <w:abstractNumId w:val="2"/>
  </w:num>
  <w:num w:numId="4" w16cid:durableId="246378578">
    <w:abstractNumId w:val="6"/>
  </w:num>
  <w:num w:numId="5" w16cid:durableId="910700729">
    <w:abstractNumId w:val="5"/>
  </w:num>
  <w:num w:numId="6" w16cid:durableId="583296295">
    <w:abstractNumId w:val="7"/>
  </w:num>
  <w:num w:numId="7" w16cid:durableId="1658415441">
    <w:abstractNumId w:val="1"/>
  </w:num>
  <w:num w:numId="8" w16cid:durableId="1987930233">
    <w:abstractNumId w:val="3"/>
  </w:num>
  <w:num w:numId="9" w16cid:durableId="1988436304">
    <w:abstractNumId w:val="11"/>
  </w:num>
  <w:num w:numId="10" w16cid:durableId="518130648">
    <w:abstractNumId w:val="9"/>
  </w:num>
  <w:num w:numId="11" w16cid:durableId="1233081561">
    <w:abstractNumId w:val="4"/>
  </w:num>
  <w:num w:numId="12" w16cid:durableId="200024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83679"/>
    <w:rsid w:val="00105E39"/>
    <w:rsid w:val="00112C39"/>
    <w:rsid w:val="00132AE5"/>
    <w:rsid w:val="00153515"/>
    <w:rsid w:val="00155315"/>
    <w:rsid w:val="001912A5"/>
    <w:rsid w:val="001C0ADD"/>
    <w:rsid w:val="00247C60"/>
    <w:rsid w:val="00256963"/>
    <w:rsid w:val="0026128D"/>
    <w:rsid w:val="00287FFD"/>
    <w:rsid w:val="002E3AA3"/>
    <w:rsid w:val="00317356"/>
    <w:rsid w:val="003318A9"/>
    <w:rsid w:val="0034503D"/>
    <w:rsid w:val="00354C31"/>
    <w:rsid w:val="00372D86"/>
    <w:rsid w:val="00375B20"/>
    <w:rsid w:val="00386D01"/>
    <w:rsid w:val="00392384"/>
    <w:rsid w:val="003B3D9E"/>
    <w:rsid w:val="003F055F"/>
    <w:rsid w:val="004049E7"/>
    <w:rsid w:val="00462B90"/>
    <w:rsid w:val="004828A0"/>
    <w:rsid w:val="004B69C7"/>
    <w:rsid w:val="004D193B"/>
    <w:rsid w:val="004F4CE8"/>
    <w:rsid w:val="004F5C81"/>
    <w:rsid w:val="00523B78"/>
    <w:rsid w:val="00525AA8"/>
    <w:rsid w:val="0053222C"/>
    <w:rsid w:val="005469BD"/>
    <w:rsid w:val="00550B17"/>
    <w:rsid w:val="005854B8"/>
    <w:rsid w:val="005A0BF8"/>
    <w:rsid w:val="00630854"/>
    <w:rsid w:val="0063421F"/>
    <w:rsid w:val="0065012F"/>
    <w:rsid w:val="00654D67"/>
    <w:rsid w:val="0068043B"/>
    <w:rsid w:val="00681CA7"/>
    <w:rsid w:val="0071383C"/>
    <w:rsid w:val="007311C3"/>
    <w:rsid w:val="00751917"/>
    <w:rsid w:val="00812DF1"/>
    <w:rsid w:val="008235E8"/>
    <w:rsid w:val="008773DF"/>
    <w:rsid w:val="008A06FF"/>
    <w:rsid w:val="008B01BA"/>
    <w:rsid w:val="008B50A0"/>
    <w:rsid w:val="008C0C35"/>
    <w:rsid w:val="008C22AD"/>
    <w:rsid w:val="008C2633"/>
    <w:rsid w:val="008C3ABE"/>
    <w:rsid w:val="008E3D8D"/>
    <w:rsid w:val="008F2F93"/>
    <w:rsid w:val="009010B0"/>
    <w:rsid w:val="00906B39"/>
    <w:rsid w:val="00963443"/>
    <w:rsid w:val="009C374A"/>
    <w:rsid w:val="009F4EA0"/>
    <w:rsid w:val="00A539A8"/>
    <w:rsid w:val="00AE73BA"/>
    <w:rsid w:val="00B026E8"/>
    <w:rsid w:val="00B54F0F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C213F"/>
    <w:rsid w:val="00CC7E80"/>
    <w:rsid w:val="00CE53FE"/>
    <w:rsid w:val="00CF3010"/>
    <w:rsid w:val="00D0578B"/>
    <w:rsid w:val="00D716AD"/>
    <w:rsid w:val="00D82345"/>
    <w:rsid w:val="00DB7929"/>
    <w:rsid w:val="00DD1BB3"/>
    <w:rsid w:val="00DE22D5"/>
    <w:rsid w:val="00E21651"/>
    <w:rsid w:val="00E612FF"/>
    <w:rsid w:val="00E95424"/>
    <w:rsid w:val="00EA5E1E"/>
    <w:rsid w:val="00EB1B31"/>
    <w:rsid w:val="00EB5EF6"/>
    <w:rsid w:val="00F135DB"/>
    <w:rsid w:val="00F429ED"/>
    <w:rsid w:val="00F804ED"/>
    <w:rsid w:val="00F818D6"/>
    <w:rsid w:val="00FA372B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18A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5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F0D8A112-5119-4698-8049-148222535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2025-02-26T00:39:00Z</dcterms:created>
  <dcterms:modified xsi:type="dcterms:W3CDTF">2025-08-18T23:13:00Z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