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0F26" w14:textId="4037FA1B" w:rsidR="000861A7" w:rsidRPr="005B02E5" w:rsidRDefault="000861A7">
      <w:pPr>
        <w:rPr>
          <w:rFonts w:ascii="Arial" w:hAnsi="Arial" w:cs="Arial"/>
          <w:kern w:val="0"/>
          <w:sz w:val="22"/>
          <w:lang w:val="en-NZ" w:eastAsia="en-US"/>
        </w:rPr>
      </w:pPr>
      <w:r w:rsidRPr="00946310">
        <w:rPr>
          <w:rFonts w:ascii="Arial" w:hAnsi="Arial" w:cs="Arial"/>
          <w:b/>
          <w:bCs/>
          <w:kern w:val="0"/>
          <w:sz w:val="22"/>
          <w:lang w:val="en-NZ" w:eastAsia="en-US"/>
        </w:rPr>
        <w:t>T</w:t>
      </w:r>
      <w:r w:rsidRPr="00946310">
        <w:rPr>
          <w:rFonts w:ascii="Arial" w:hAnsi="Arial" w:cs="Arial" w:hint="eastAsia"/>
          <w:b/>
          <w:bCs/>
          <w:kern w:val="0"/>
          <w:sz w:val="22"/>
          <w:lang w:val="en-NZ" w:eastAsia="en-US"/>
        </w:rPr>
        <w:t xml:space="preserve">itle: </w:t>
      </w:r>
      <w:r w:rsidR="00946310" w:rsidRPr="00946310">
        <w:rPr>
          <w:rFonts w:ascii="Arial" w:hAnsi="Arial" w:cs="Arial" w:hint="eastAsia"/>
          <w:kern w:val="0"/>
          <w:sz w:val="22"/>
          <w:lang w:val="en-NZ" w:eastAsia="en-US"/>
        </w:rPr>
        <w:t>Association of Diabetic Foot Ulcer with Increased Non-Calcified Plaque Volume and High-Risk Coronary Features in Type 2 Diabetes Mellitus</w:t>
      </w:r>
    </w:p>
    <w:p w14:paraId="46EC1ECD" w14:textId="77777777" w:rsidR="000861A7" w:rsidRPr="005B02E5" w:rsidRDefault="000861A7">
      <w:pPr>
        <w:rPr>
          <w:rFonts w:ascii="Arial" w:hAnsi="Arial" w:cs="Arial"/>
          <w:kern w:val="0"/>
          <w:sz w:val="22"/>
          <w:lang w:val="en-NZ" w:eastAsia="en-US"/>
        </w:rPr>
      </w:pPr>
    </w:p>
    <w:p w14:paraId="302E5672" w14:textId="6B505DCB" w:rsidR="00E35D44" w:rsidRPr="005B02E5" w:rsidRDefault="0061668B">
      <w:pPr>
        <w:rPr>
          <w:rFonts w:ascii="Arial" w:hAnsi="Arial" w:cs="Arial"/>
          <w:kern w:val="0"/>
          <w:sz w:val="22"/>
          <w:lang w:val="en-NZ" w:eastAsia="en-US"/>
        </w:rPr>
      </w:pPr>
      <w:r w:rsidRPr="00946310">
        <w:rPr>
          <w:rFonts w:ascii="Arial" w:hAnsi="Arial" w:cs="Arial" w:hint="eastAsia"/>
          <w:b/>
          <w:bCs/>
          <w:kern w:val="0"/>
          <w:sz w:val="22"/>
          <w:lang w:val="en-NZ" w:eastAsia="en-US"/>
        </w:rPr>
        <w:t>Aims:</w:t>
      </w:r>
      <w:r w:rsidRPr="005B02E5">
        <w:rPr>
          <w:rFonts w:ascii="Arial" w:hAnsi="Arial" w:cs="Arial" w:hint="eastAsia"/>
          <w:kern w:val="0"/>
          <w:sz w:val="22"/>
          <w:lang w:val="en-NZ" w:eastAsia="en-US"/>
        </w:rPr>
        <w:t xml:space="preserve"> </w:t>
      </w:r>
      <w:r w:rsidR="0095357D" w:rsidRPr="005B02E5">
        <w:rPr>
          <w:rFonts w:ascii="Arial" w:hAnsi="Arial" w:cs="Arial"/>
          <w:kern w:val="0"/>
          <w:sz w:val="22"/>
          <w:lang w:val="en-NZ" w:eastAsia="en-US"/>
        </w:rPr>
        <w:t xml:space="preserve">This study aimed to compare coronary plaque burden and vulnerability between individuals with and without </w:t>
      </w:r>
      <w:r w:rsidR="00946310" w:rsidRPr="00946310">
        <w:rPr>
          <w:rFonts w:ascii="Arial" w:hAnsi="Arial" w:cs="Arial" w:hint="eastAsia"/>
          <w:kern w:val="0"/>
          <w:sz w:val="22"/>
          <w:lang w:val="en-NZ" w:eastAsia="en-US"/>
        </w:rPr>
        <w:t>Diabetic Foot Ulcer</w:t>
      </w:r>
      <w:r w:rsidR="00946310">
        <w:rPr>
          <w:rFonts w:ascii="Arial" w:hAnsi="Arial" w:cs="Arial" w:hint="eastAsia"/>
          <w:kern w:val="0"/>
          <w:sz w:val="22"/>
          <w:lang w:val="en-NZ"/>
        </w:rPr>
        <w:t xml:space="preserve"> (</w:t>
      </w:r>
      <w:r w:rsidR="0095357D" w:rsidRPr="005B02E5">
        <w:rPr>
          <w:rFonts w:ascii="Arial" w:hAnsi="Arial" w:cs="Arial"/>
          <w:kern w:val="0"/>
          <w:sz w:val="22"/>
          <w:lang w:val="en-NZ" w:eastAsia="en-US"/>
        </w:rPr>
        <w:t>DFU</w:t>
      </w:r>
      <w:r w:rsidR="00946310">
        <w:rPr>
          <w:rFonts w:ascii="Arial" w:hAnsi="Arial" w:cs="Arial" w:hint="eastAsia"/>
          <w:kern w:val="0"/>
          <w:sz w:val="22"/>
          <w:lang w:val="en-NZ"/>
        </w:rPr>
        <w:t>)</w:t>
      </w:r>
      <w:r w:rsidR="0095357D" w:rsidRPr="005B02E5">
        <w:rPr>
          <w:rFonts w:ascii="Arial" w:hAnsi="Arial" w:cs="Arial"/>
          <w:kern w:val="0"/>
          <w:sz w:val="22"/>
          <w:lang w:val="en-NZ" w:eastAsia="en-US"/>
        </w:rPr>
        <w:t xml:space="preserve"> in type 2 diabetes mellitus (T2DM), using coronary computed tomography angiography (CCTA).</w:t>
      </w:r>
    </w:p>
    <w:p w14:paraId="56B1F4C2" w14:textId="77777777" w:rsidR="000861A7" w:rsidRPr="005B02E5" w:rsidRDefault="000861A7">
      <w:pPr>
        <w:rPr>
          <w:rFonts w:ascii="Arial" w:hAnsi="Arial" w:cs="Arial"/>
          <w:kern w:val="0"/>
          <w:sz w:val="22"/>
          <w:lang w:val="en-NZ" w:eastAsia="en-US"/>
        </w:rPr>
      </w:pPr>
    </w:p>
    <w:p w14:paraId="318E8138" w14:textId="5B402F58" w:rsidR="000861A7" w:rsidRPr="005B02E5" w:rsidRDefault="0061668B" w:rsidP="002B77BB">
      <w:pPr>
        <w:rPr>
          <w:rFonts w:ascii="Arial" w:hAnsi="Arial" w:cs="Arial"/>
          <w:kern w:val="0"/>
          <w:sz w:val="22"/>
          <w:lang w:val="en-NZ" w:eastAsia="en-US"/>
        </w:rPr>
      </w:pPr>
      <w:r w:rsidRPr="005F6202">
        <w:rPr>
          <w:rFonts w:ascii="Arial" w:hAnsi="Arial" w:cs="Arial" w:hint="eastAsia"/>
          <w:b/>
          <w:bCs/>
          <w:kern w:val="0"/>
          <w:sz w:val="22"/>
          <w:lang w:val="en-NZ" w:eastAsia="en-US"/>
        </w:rPr>
        <w:t>Methods</w:t>
      </w:r>
      <w:r w:rsidRPr="005B02E5">
        <w:rPr>
          <w:rFonts w:ascii="Arial" w:hAnsi="Arial" w:cs="Arial" w:hint="eastAsia"/>
          <w:kern w:val="0"/>
          <w:sz w:val="22"/>
          <w:lang w:val="en-NZ" w:eastAsia="en-US"/>
        </w:rPr>
        <w:t>:</w:t>
      </w:r>
      <w:r w:rsidR="002B77BB" w:rsidRPr="005B02E5">
        <w:rPr>
          <w:rFonts w:ascii="Arial" w:hAnsi="Arial" w:cs="Arial" w:hint="eastAsia"/>
          <w:kern w:val="0"/>
          <w:sz w:val="22"/>
          <w:lang w:val="en-NZ" w:eastAsia="en-US"/>
        </w:rPr>
        <w:t xml:space="preserve"> </w:t>
      </w:r>
      <w:r w:rsidR="0095357D" w:rsidRPr="005B02E5">
        <w:rPr>
          <w:rFonts w:ascii="Arial" w:hAnsi="Arial" w:cs="Arial"/>
          <w:kern w:val="0"/>
          <w:sz w:val="22"/>
          <w:lang w:val="en-NZ" w:eastAsia="en-US"/>
        </w:rPr>
        <w:t xml:space="preserve">This retrospective study included 272 </w:t>
      </w:r>
      <w:r w:rsidR="00603306" w:rsidRPr="005B02E5">
        <w:rPr>
          <w:rFonts w:ascii="Arial" w:hAnsi="Arial" w:cs="Arial"/>
          <w:kern w:val="0"/>
          <w:sz w:val="22"/>
          <w:lang w:val="en-NZ" w:eastAsia="en-US"/>
        </w:rPr>
        <w:t xml:space="preserve">individuals with </w:t>
      </w:r>
      <w:r w:rsidR="0095357D" w:rsidRPr="005B02E5">
        <w:rPr>
          <w:rFonts w:ascii="Arial" w:hAnsi="Arial" w:cs="Arial"/>
          <w:kern w:val="0"/>
          <w:sz w:val="22"/>
          <w:lang w:val="en-NZ" w:eastAsia="en-US"/>
        </w:rPr>
        <w:t>T2DM</w:t>
      </w:r>
      <w:r w:rsidR="00603306" w:rsidRPr="005B02E5">
        <w:rPr>
          <w:rFonts w:ascii="Arial" w:hAnsi="Arial" w:cs="Arial" w:hint="eastAsia"/>
          <w:kern w:val="0"/>
          <w:sz w:val="22"/>
          <w:lang w:val="en-NZ" w:eastAsia="en-US"/>
        </w:rPr>
        <w:t xml:space="preserve"> </w:t>
      </w:r>
      <w:r w:rsidR="0095357D" w:rsidRPr="005B02E5">
        <w:rPr>
          <w:rFonts w:ascii="Arial" w:hAnsi="Arial" w:cs="Arial"/>
          <w:kern w:val="0"/>
          <w:sz w:val="22"/>
          <w:lang w:val="en-NZ" w:eastAsia="en-US"/>
        </w:rPr>
        <w:t>(12</w:t>
      </w:r>
      <w:r w:rsidR="00603306" w:rsidRPr="005B02E5">
        <w:rPr>
          <w:rFonts w:ascii="Arial" w:hAnsi="Arial" w:cs="Arial" w:hint="eastAsia"/>
          <w:kern w:val="0"/>
          <w:sz w:val="22"/>
          <w:lang w:val="en-NZ" w:eastAsia="en-US"/>
        </w:rPr>
        <w:t>7</w:t>
      </w:r>
      <w:r w:rsidR="0095357D" w:rsidRPr="005B02E5">
        <w:rPr>
          <w:rFonts w:ascii="Arial" w:hAnsi="Arial" w:cs="Arial"/>
          <w:kern w:val="0"/>
          <w:sz w:val="22"/>
          <w:lang w:val="en-NZ" w:eastAsia="en-US"/>
        </w:rPr>
        <w:t xml:space="preserve"> with DFU, 14</w:t>
      </w:r>
      <w:r w:rsidR="00603306" w:rsidRPr="005B02E5">
        <w:rPr>
          <w:rFonts w:ascii="Arial" w:hAnsi="Arial" w:cs="Arial" w:hint="eastAsia"/>
          <w:kern w:val="0"/>
          <w:sz w:val="22"/>
          <w:lang w:val="en-NZ" w:eastAsia="en-US"/>
        </w:rPr>
        <w:t>5</w:t>
      </w:r>
      <w:r w:rsidR="0095357D" w:rsidRPr="005B02E5">
        <w:rPr>
          <w:rFonts w:ascii="Arial" w:hAnsi="Arial" w:cs="Arial"/>
          <w:kern w:val="0"/>
          <w:sz w:val="22"/>
          <w:lang w:val="en-NZ" w:eastAsia="en-US"/>
        </w:rPr>
        <w:t xml:space="preserve"> without</w:t>
      </w:r>
      <w:r w:rsidR="0095357D" w:rsidRPr="005B02E5">
        <w:rPr>
          <w:rFonts w:ascii="Arial" w:hAnsi="Arial" w:cs="Arial" w:hint="eastAsia"/>
          <w:kern w:val="0"/>
          <w:sz w:val="22"/>
          <w:lang w:val="en-NZ" w:eastAsia="en-US"/>
        </w:rPr>
        <w:t xml:space="preserve"> DFU</w:t>
      </w:r>
      <w:r w:rsidR="0095357D" w:rsidRPr="005B02E5">
        <w:rPr>
          <w:rFonts w:ascii="Arial" w:hAnsi="Arial" w:cs="Arial"/>
          <w:kern w:val="0"/>
          <w:sz w:val="22"/>
          <w:lang w:val="en-NZ" w:eastAsia="en-US"/>
        </w:rPr>
        <w:t>)</w:t>
      </w:r>
      <w:r w:rsidR="002B77BB" w:rsidRPr="005B02E5">
        <w:rPr>
          <w:rFonts w:ascii="Arial" w:hAnsi="Arial" w:cs="Arial" w:hint="eastAsia"/>
          <w:kern w:val="0"/>
          <w:sz w:val="22"/>
          <w:lang w:val="en-NZ" w:eastAsia="en-US"/>
        </w:rPr>
        <w:t xml:space="preserve">. </w:t>
      </w:r>
      <w:r w:rsidR="00603306" w:rsidRPr="005B02E5">
        <w:rPr>
          <w:rFonts w:ascii="Arial" w:hAnsi="Arial" w:cs="Arial" w:hint="eastAsia"/>
          <w:kern w:val="0"/>
          <w:sz w:val="22"/>
          <w:lang w:val="en-NZ" w:eastAsia="en-US"/>
        </w:rPr>
        <w:t>C</w:t>
      </w:r>
      <w:r w:rsidR="002B77BB" w:rsidRPr="005B02E5">
        <w:rPr>
          <w:rFonts w:ascii="Arial" w:hAnsi="Arial" w:cs="Arial" w:hint="eastAsia"/>
          <w:kern w:val="0"/>
          <w:sz w:val="22"/>
          <w:lang w:val="en-NZ" w:eastAsia="en-US"/>
        </w:rPr>
        <w:t xml:space="preserve">oronary artery </w:t>
      </w:r>
      <w:r w:rsidR="00AE64A7" w:rsidRPr="005B02E5">
        <w:rPr>
          <w:rFonts w:ascii="Arial" w:hAnsi="Arial" w:cs="Arial" w:hint="eastAsia"/>
          <w:kern w:val="0"/>
          <w:sz w:val="22"/>
          <w:lang w:val="en-NZ" w:eastAsia="en-US"/>
        </w:rPr>
        <w:t>stenosis</w:t>
      </w:r>
      <w:r w:rsidR="002B77BB" w:rsidRPr="005B02E5">
        <w:rPr>
          <w:rFonts w:ascii="Arial" w:hAnsi="Arial" w:cs="Arial" w:hint="eastAsia"/>
          <w:kern w:val="0"/>
          <w:sz w:val="22"/>
          <w:lang w:val="en-NZ" w:eastAsia="en-US"/>
        </w:rPr>
        <w:t xml:space="preserve"> severity assessed according to the CAD-RADS classification. </w:t>
      </w:r>
      <w:r w:rsidR="000861A7" w:rsidRPr="005B02E5">
        <w:rPr>
          <w:rFonts w:ascii="Arial" w:hAnsi="Arial" w:cs="Arial"/>
          <w:kern w:val="0"/>
          <w:sz w:val="22"/>
          <w:lang w:val="en-NZ" w:eastAsia="en-US"/>
        </w:rPr>
        <w:t>Plaque burden was assessed by total, calcified, and non</w:t>
      </w:r>
      <w:r w:rsidR="000861A7" w:rsidRPr="005B02E5">
        <w:rPr>
          <w:rFonts w:ascii="Arial" w:hAnsi="Arial" w:cs="Arial"/>
          <w:kern w:val="0"/>
          <w:sz w:val="22"/>
          <w:lang w:val="en-NZ" w:eastAsia="en-US"/>
        </w:rPr>
        <w:noBreakHyphen/>
        <w:t>calcified plaque volumes. High</w:t>
      </w:r>
      <w:r w:rsidR="000861A7" w:rsidRPr="005B02E5">
        <w:rPr>
          <w:rFonts w:ascii="Arial" w:hAnsi="Arial" w:cs="Arial"/>
          <w:kern w:val="0"/>
          <w:sz w:val="22"/>
          <w:lang w:val="en-NZ" w:eastAsia="en-US"/>
        </w:rPr>
        <w:noBreakHyphen/>
        <w:t>risk plaque (HRP) was defined as having ≥2 features among positive remodeling, low attenuation, napkin</w:t>
      </w:r>
      <w:r w:rsidR="000861A7" w:rsidRPr="005B02E5">
        <w:rPr>
          <w:rFonts w:ascii="Arial" w:hAnsi="Arial" w:cs="Arial"/>
          <w:kern w:val="0"/>
          <w:sz w:val="22"/>
          <w:lang w:val="en-NZ" w:eastAsia="en-US"/>
        </w:rPr>
        <w:noBreakHyphen/>
        <w:t>ring sign, or spotty calcification. Multivariable models were used to examine the independent association between DFU and coronary characteristics after adjusting for clinical confounders.</w:t>
      </w:r>
    </w:p>
    <w:p w14:paraId="2E9297D9" w14:textId="77777777" w:rsidR="000861A7" w:rsidRPr="005B02E5" w:rsidRDefault="000861A7" w:rsidP="002B77BB">
      <w:pPr>
        <w:rPr>
          <w:rFonts w:ascii="Arial" w:hAnsi="Arial" w:cs="Arial"/>
          <w:kern w:val="0"/>
          <w:sz w:val="22"/>
          <w:lang w:val="en-NZ" w:eastAsia="en-US"/>
        </w:rPr>
      </w:pPr>
    </w:p>
    <w:p w14:paraId="0B74581C" w14:textId="6C276F60" w:rsidR="000861A7" w:rsidRPr="005B02E5" w:rsidRDefault="002B77BB" w:rsidP="000861A7">
      <w:pPr>
        <w:rPr>
          <w:rFonts w:ascii="Arial" w:hAnsi="Arial" w:cs="Arial"/>
          <w:kern w:val="0"/>
          <w:sz w:val="22"/>
          <w:lang w:val="en-NZ" w:eastAsia="en-US"/>
        </w:rPr>
      </w:pPr>
      <w:r w:rsidRPr="005B02E5">
        <w:rPr>
          <w:rFonts w:ascii="Arial" w:hAnsi="Arial" w:cs="Arial" w:hint="eastAsia"/>
          <w:b/>
          <w:bCs/>
          <w:kern w:val="0"/>
          <w:sz w:val="22"/>
          <w:lang w:val="en-NZ" w:eastAsia="en-US"/>
        </w:rPr>
        <w:t>Results:</w:t>
      </w:r>
      <w:r w:rsidR="000861A7" w:rsidRPr="005B02E5">
        <w:rPr>
          <w:rFonts w:ascii="Arial" w:hAnsi="Arial" w:cs="Arial"/>
          <w:b/>
          <w:bCs/>
          <w:kern w:val="0"/>
          <w:sz w:val="22"/>
          <w:lang w:val="en-NZ" w:eastAsia="en-US"/>
        </w:rPr>
        <w:t xml:space="preserve"> </w:t>
      </w:r>
      <w:r w:rsidR="00BC3A47" w:rsidRPr="005B02E5">
        <w:rPr>
          <w:rFonts w:ascii="Arial" w:hAnsi="Arial" w:cs="Arial"/>
          <w:kern w:val="0"/>
          <w:sz w:val="22"/>
          <w:lang w:val="en-NZ" w:eastAsia="en-US"/>
        </w:rPr>
        <w:t>Compared with non-DFU patients, those with DFU had significantly greater coronary plaque burden (PAV: 12</w:t>
      </w:r>
      <w:r w:rsidR="00BC3A47" w:rsidRPr="005B02E5">
        <w:rPr>
          <w:rFonts w:ascii="Arial" w:hAnsi="Arial" w:cs="Arial" w:hint="eastAsia"/>
          <w:kern w:val="0"/>
          <w:sz w:val="22"/>
          <w:lang w:val="en-NZ" w:eastAsia="en-US"/>
        </w:rPr>
        <w:t>%</w:t>
      </w:r>
      <w:r w:rsidR="00BC3A47" w:rsidRPr="005B02E5">
        <w:rPr>
          <w:rFonts w:ascii="Arial" w:hAnsi="Arial" w:cs="Arial"/>
          <w:kern w:val="0"/>
          <w:sz w:val="22"/>
          <w:lang w:val="en-NZ" w:eastAsia="en-US"/>
        </w:rPr>
        <w:t xml:space="preserve"> [</w:t>
      </w:r>
      <w:r w:rsidR="00BC3A47" w:rsidRPr="005B02E5">
        <w:rPr>
          <w:rFonts w:ascii="Arial" w:hAnsi="Arial" w:cs="Arial" w:hint="eastAsia"/>
          <w:kern w:val="0"/>
          <w:sz w:val="22"/>
          <w:lang w:val="en-NZ" w:eastAsia="en-US"/>
        </w:rPr>
        <w:t>6%</w:t>
      </w:r>
      <w:r w:rsidR="00BC3A47" w:rsidRPr="005B02E5">
        <w:rPr>
          <w:rFonts w:ascii="Arial" w:hAnsi="Arial" w:cs="Arial"/>
          <w:kern w:val="0"/>
          <w:sz w:val="22"/>
          <w:lang w:val="en-NZ" w:eastAsia="en-US"/>
        </w:rPr>
        <w:t>–23</w:t>
      </w:r>
      <w:r w:rsidR="00BC3A47" w:rsidRPr="005B02E5">
        <w:rPr>
          <w:rFonts w:ascii="Arial" w:hAnsi="Arial" w:cs="Arial" w:hint="eastAsia"/>
          <w:kern w:val="0"/>
          <w:sz w:val="22"/>
          <w:lang w:val="en-NZ" w:eastAsia="en-US"/>
        </w:rPr>
        <w:t>%</w:t>
      </w:r>
      <w:r w:rsidR="00BC3A47" w:rsidRPr="005B02E5">
        <w:rPr>
          <w:rFonts w:ascii="Arial" w:hAnsi="Arial" w:cs="Arial"/>
          <w:kern w:val="0"/>
          <w:sz w:val="22"/>
          <w:lang w:val="en-NZ" w:eastAsia="en-US"/>
        </w:rPr>
        <w:t>] vs. 4</w:t>
      </w:r>
      <w:r w:rsidR="00BC3A47" w:rsidRPr="005B02E5">
        <w:rPr>
          <w:rFonts w:ascii="Arial" w:hAnsi="Arial" w:cs="Arial" w:hint="eastAsia"/>
          <w:kern w:val="0"/>
          <w:sz w:val="22"/>
          <w:lang w:val="en-NZ" w:eastAsia="en-US"/>
        </w:rPr>
        <w:t>%</w:t>
      </w:r>
      <w:r w:rsidR="00BC3A47" w:rsidRPr="005B02E5">
        <w:rPr>
          <w:rFonts w:ascii="Arial" w:hAnsi="Arial" w:cs="Arial"/>
          <w:kern w:val="0"/>
          <w:sz w:val="22"/>
          <w:lang w:val="en-NZ" w:eastAsia="en-US"/>
        </w:rPr>
        <w:t xml:space="preserve"> [1</w:t>
      </w:r>
      <w:r w:rsidR="00BC3A47" w:rsidRPr="005B02E5">
        <w:rPr>
          <w:rFonts w:ascii="Arial" w:hAnsi="Arial" w:cs="Arial" w:hint="eastAsia"/>
          <w:kern w:val="0"/>
          <w:sz w:val="22"/>
          <w:lang w:val="en-NZ" w:eastAsia="en-US"/>
        </w:rPr>
        <w:t>%</w:t>
      </w:r>
      <w:r w:rsidR="00BC3A47" w:rsidRPr="005B02E5">
        <w:rPr>
          <w:rFonts w:ascii="Arial" w:hAnsi="Arial" w:cs="Arial"/>
          <w:kern w:val="0"/>
          <w:sz w:val="22"/>
          <w:lang w:val="en-NZ" w:eastAsia="en-US"/>
        </w:rPr>
        <w:t>–10</w:t>
      </w:r>
      <w:r w:rsidR="00BC3A47" w:rsidRPr="005B02E5">
        <w:rPr>
          <w:rFonts w:ascii="Arial" w:hAnsi="Arial" w:cs="Arial" w:hint="eastAsia"/>
          <w:kern w:val="0"/>
          <w:sz w:val="22"/>
          <w:lang w:val="en-NZ" w:eastAsia="en-US"/>
        </w:rPr>
        <w:t>%</w:t>
      </w:r>
      <w:r w:rsidR="00BC3A47" w:rsidRPr="005B02E5">
        <w:rPr>
          <w:rFonts w:ascii="Arial" w:hAnsi="Arial" w:cs="Arial"/>
          <w:kern w:val="0"/>
          <w:sz w:val="22"/>
          <w:lang w:val="en-NZ" w:eastAsia="en-US"/>
        </w:rPr>
        <w:t xml:space="preserve">]) and volumes of total, calcified, and non-calcified plaque (all </w:t>
      </w:r>
      <w:r w:rsidR="004802CC">
        <w:rPr>
          <w:rFonts w:ascii="Arial" w:hAnsi="Arial" w:cs="Arial" w:hint="eastAsia"/>
          <w:kern w:val="0"/>
          <w:sz w:val="22"/>
          <w:lang w:val="en-NZ"/>
        </w:rPr>
        <w:t>p</w:t>
      </w:r>
      <w:r w:rsidR="00BC3A47" w:rsidRPr="005B02E5">
        <w:rPr>
          <w:rFonts w:ascii="Arial" w:hAnsi="Arial" w:cs="Arial"/>
          <w:kern w:val="0"/>
          <w:sz w:val="22"/>
          <w:lang w:val="en-NZ" w:eastAsia="en-US"/>
        </w:rPr>
        <w:t xml:space="preserve">&lt;0.001). All high-risk plaque features were also more prevalent (all </w:t>
      </w:r>
      <w:r w:rsidR="004802CC">
        <w:rPr>
          <w:rFonts w:ascii="Arial" w:hAnsi="Arial" w:cs="Arial" w:hint="eastAsia"/>
          <w:kern w:val="0"/>
          <w:sz w:val="22"/>
          <w:lang w:val="en-NZ"/>
        </w:rPr>
        <w:t>p</w:t>
      </w:r>
      <w:r w:rsidR="00BC3A47" w:rsidRPr="005B02E5">
        <w:rPr>
          <w:rFonts w:ascii="Arial" w:hAnsi="Arial" w:cs="Arial"/>
          <w:kern w:val="0"/>
          <w:sz w:val="22"/>
          <w:lang w:val="en-NZ" w:eastAsia="en-US"/>
        </w:rPr>
        <w:t xml:space="preserve">&lt;0.001), leading to a higher proportion of patients with ≥2 such features (93.7% vs. 68.5%; </w:t>
      </w:r>
      <w:r w:rsidR="004802CC">
        <w:rPr>
          <w:rFonts w:ascii="Arial" w:hAnsi="Arial" w:cs="Arial" w:hint="eastAsia"/>
          <w:kern w:val="0"/>
          <w:sz w:val="22"/>
          <w:lang w:val="en-NZ"/>
        </w:rPr>
        <w:t>p</w:t>
      </w:r>
      <w:r w:rsidR="00BC3A47" w:rsidRPr="005B02E5">
        <w:rPr>
          <w:rFonts w:ascii="Arial" w:hAnsi="Arial" w:cs="Arial"/>
          <w:kern w:val="0"/>
          <w:sz w:val="22"/>
          <w:lang w:val="en-NZ" w:eastAsia="en-US"/>
        </w:rPr>
        <w:t xml:space="preserve">&lt;0.001). Consequently, severe stenosis (CAD-RADS 5) was more common in the DFU group (45.2% vs. 17.8%; </w:t>
      </w:r>
      <w:r w:rsidR="004802CC">
        <w:rPr>
          <w:rFonts w:ascii="Arial" w:hAnsi="Arial" w:cs="Arial" w:hint="eastAsia"/>
          <w:kern w:val="0"/>
          <w:sz w:val="22"/>
          <w:lang w:val="en-NZ"/>
        </w:rPr>
        <w:t>p</w:t>
      </w:r>
      <w:r w:rsidR="00BC3A47" w:rsidRPr="005B02E5">
        <w:rPr>
          <w:rFonts w:ascii="Arial" w:hAnsi="Arial" w:cs="Arial"/>
          <w:kern w:val="0"/>
          <w:sz w:val="22"/>
          <w:lang w:val="en-NZ" w:eastAsia="en-US"/>
        </w:rPr>
        <w:t>&lt;0.001). In multivariable analyses adjusted for conventional risk factors and medications, DFU remained independently associated with greater non-calcified plaque volume (β= 54.06, 95% CI 16.31–91.82, p=0.005), higher CAD-RADS grade (OR 3.22, 95% CI 1.92–5.46, p&lt;0.001), and the presence of high-risk plaque features (OR 5.98, 95% CI 2.44–14.69, p&lt;0.001)</w:t>
      </w:r>
      <w:r w:rsidR="00190556" w:rsidRPr="005B02E5">
        <w:rPr>
          <w:rFonts w:ascii="Arial" w:hAnsi="Arial" w:cs="Arial"/>
          <w:kern w:val="0"/>
          <w:sz w:val="22"/>
          <w:lang w:val="en-NZ" w:eastAsia="en-US"/>
        </w:rPr>
        <w:t>.</w:t>
      </w:r>
    </w:p>
    <w:p w14:paraId="15247895" w14:textId="0964EBBD" w:rsidR="002B77BB" w:rsidRPr="005B02E5" w:rsidRDefault="002B77BB" w:rsidP="002B77BB">
      <w:pPr>
        <w:rPr>
          <w:rFonts w:ascii="Arial" w:hAnsi="Arial" w:cs="Arial"/>
          <w:kern w:val="0"/>
          <w:sz w:val="22"/>
          <w:lang w:val="en-NZ" w:eastAsia="en-US"/>
        </w:rPr>
      </w:pPr>
    </w:p>
    <w:p w14:paraId="4201F87C" w14:textId="75F4E2B5" w:rsidR="0061668B" w:rsidRPr="005B02E5" w:rsidRDefault="002B77BB" w:rsidP="0095357D">
      <w:pPr>
        <w:rPr>
          <w:rFonts w:ascii="Arial" w:hAnsi="Arial" w:cs="Arial"/>
          <w:kern w:val="0"/>
          <w:sz w:val="22"/>
          <w:lang w:val="en-NZ" w:eastAsia="en-US"/>
        </w:rPr>
      </w:pPr>
      <w:r w:rsidRPr="005B02E5">
        <w:rPr>
          <w:rFonts w:ascii="Arial" w:hAnsi="Arial" w:cs="Arial" w:hint="eastAsia"/>
          <w:b/>
          <w:bCs/>
          <w:kern w:val="0"/>
          <w:sz w:val="22"/>
          <w:lang w:val="en-NZ" w:eastAsia="en-US"/>
        </w:rPr>
        <w:t>Conclusion:</w:t>
      </w:r>
      <w:r w:rsidR="00187755" w:rsidRPr="005B02E5">
        <w:rPr>
          <w:rFonts w:ascii="Arial" w:hAnsi="Arial" w:cs="Arial"/>
          <w:kern w:val="0"/>
          <w:sz w:val="22"/>
          <w:lang w:val="en-NZ" w:eastAsia="en-US"/>
        </w:rPr>
        <w:t xml:space="preserve"> </w:t>
      </w:r>
      <w:r w:rsidR="00190556" w:rsidRPr="005B02E5">
        <w:rPr>
          <w:rFonts w:ascii="Arial" w:hAnsi="Arial" w:cs="Arial"/>
          <w:kern w:val="0"/>
          <w:sz w:val="22"/>
          <w:lang w:val="en-NZ" w:eastAsia="en-US"/>
        </w:rPr>
        <w:t xml:space="preserve">DFU is independently associated with more severe coronary stenosis, greater total plaque burden, and a higher prevalence of high-risk plaque features in </w:t>
      </w:r>
      <w:r w:rsidR="00E126C4" w:rsidRPr="005B02E5">
        <w:rPr>
          <w:rFonts w:ascii="Arial" w:hAnsi="Arial" w:cs="Arial"/>
          <w:kern w:val="0"/>
          <w:sz w:val="22"/>
          <w:lang w:val="en-NZ" w:eastAsia="en-US"/>
        </w:rPr>
        <w:t>individuals</w:t>
      </w:r>
      <w:r w:rsidR="00190556" w:rsidRPr="005B02E5">
        <w:rPr>
          <w:rFonts w:ascii="Arial" w:hAnsi="Arial" w:cs="Arial"/>
          <w:kern w:val="0"/>
          <w:sz w:val="22"/>
          <w:lang w:val="en-NZ" w:eastAsia="en-US"/>
        </w:rPr>
        <w:t xml:space="preserve"> with T2DM</w:t>
      </w:r>
      <w:r w:rsidR="00187755" w:rsidRPr="005B02E5">
        <w:rPr>
          <w:rFonts w:ascii="Arial" w:hAnsi="Arial" w:cs="Arial" w:hint="eastAsia"/>
          <w:kern w:val="0"/>
          <w:sz w:val="22"/>
          <w:lang w:val="en-NZ" w:eastAsia="en-US"/>
        </w:rPr>
        <w:t>.</w:t>
      </w:r>
      <w:r w:rsidR="000861A7" w:rsidRPr="005B02E5">
        <w:rPr>
          <w:rFonts w:ascii="Arial" w:hAnsi="Arial" w:cs="Arial" w:hint="eastAsia"/>
          <w:kern w:val="0"/>
          <w:sz w:val="22"/>
          <w:lang w:val="en-NZ" w:eastAsia="en-US"/>
        </w:rPr>
        <w:t xml:space="preserve"> </w:t>
      </w:r>
      <w:r w:rsidR="00187755" w:rsidRPr="005B02E5">
        <w:rPr>
          <w:rFonts w:ascii="Arial" w:hAnsi="Arial" w:cs="Arial"/>
          <w:kern w:val="0"/>
          <w:sz w:val="22"/>
          <w:lang w:val="en-NZ" w:eastAsia="en-US"/>
        </w:rPr>
        <w:t xml:space="preserve">A comprehensive qualitative and quantitative </w:t>
      </w:r>
      <w:r w:rsidR="00AE64A7" w:rsidRPr="005B02E5">
        <w:rPr>
          <w:rFonts w:ascii="Arial" w:hAnsi="Arial" w:cs="Arial"/>
          <w:kern w:val="0"/>
          <w:sz w:val="22"/>
          <w:lang w:val="en-NZ" w:eastAsia="en-US"/>
        </w:rPr>
        <w:t xml:space="preserve">CCTA </w:t>
      </w:r>
      <w:r w:rsidR="00187755" w:rsidRPr="005B02E5">
        <w:rPr>
          <w:rFonts w:ascii="Arial" w:hAnsi="Arial" w:cs="Arial"/>
          <w:kern w:val="0"/>
          <w:sz w:val="22"/>
          <w:lang w:val="en-NZ" w:eastAsia="en-US"/>
        </w:rPr>
        <w:t>assessment of plaque characteristics</w:t>
      </w:r>
      <w:r w:rsidR="0095357D" w:rsidRPr="005B02E5">
        <w:rPr>
          <w:rFonts w:ascii="Arial" w:hAnsi="Arial" w:cs="Arial" w:hint="eastAsia"/>
          <w:kern w:val="0"/>
          <w:sz w:val="22"/>
          <w:lang w:val="en-NZ" w:eastAsia="en-US"/>
        </w:rPr>
        <w:t xml:space="preserve"> </w:t>
      </w:r>
      <w:r w:rsidR="00187755" w:rsidRPr="005B02E5">
        <w:rPr>
          <w:rFonts w:ascii="Arial" w:hAnsi="Arial" w:cs="Arial"/>
          <w:kern w:val="0"/>
          <w:sz w:val="22"/>
          <w:lang w:val="en-NZ" w:eastAsia="en-US"/>
        </w:rPr>
        <w:t>may improve cardiovascular risk stratification in this high-risk subgroup, beyond conventional risk factors.</w:t>
      </w:r>
    </w:p>
    <w:sectPr w:rsidR="0061668B" w:rsidRPr="005B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A55E" w14:textId="77777777" w:rsidR="00D64EE6" w:rsidRDefault="00D64EE6" w:rsidP="00F47AF5">
      <w:pPr>
        <w:rPr>
          <w:rFonts w:hint="eastAsia"/>
        </w:rPr>
      </w:pPr>
      <w:r>
        <w:separator/>
      </w:r>
    </w:p>
  </w:endnote>
  <w:endnote w:type="continuationSeparator" w:id="0">
    <w:p w14:paraId="70E604C3" w14:textId="77777777" w:rsidR="00D64EE6" w:rsidRDefault="00D64EE6" w:rsidP="00F47A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ECF" w14:textId="77777777" w:rsidR="00D64EE6" w:rsidRDefault="00D64EE6" w:rsidP="00F47AF5">
      <w:pPr>
        <w:rPr>
          <w:rFonts w:hint="eastAsia"/>
        </w:rPr>
      </w:pPr>
      <w:r>
        <w:separator/>
      </w:r>
    </w:p>
  </w:footnote>
  <w:footnote w:type="continuationSeparator" w:id="0">
    <w:p w14:paraId="23AC265A" w14:textId="77777777" w:rsidR="00D64EE6" w:rsidRDefault="00D64EE6" w:rsidP="00F47AF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52284"/>
    <w:multiLevelType w:val="multilevel"/>
    <w:tmpl w:val="933CF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12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0F"/>
    <w:rsid w:val="00082F7E"/>
    <w:rsid w:val="000861A7"/>
    <w:rsid w:val="0012430F"/>
    <w:rsid w:val="00187755"/>
    <w:rsid w:val="00190556"/>
    <w:rsid w:val="00213235"/>
    <w:rsid w:val="002B77BB"/>
    <w:rsid w:val="004802CC"/>
    <w:rsid w:val="005B02E5"/>
    <w:rsid w:val="005C7F69"/>
    <w:rsid w:val="005F6202"/>
    <w:rsid w:val="00603306"/>
    <w:rsid w:val="0061668B"/>
    <w:rsid w:val="006D1FE3"/>
    <w:rsid w:val="007A3085"/>
    <w:rsid w:val="007E422A"/>
    <w:rsid w:val="00946310"/>
    <w:rsid w:val="0095357D"/>
    <w:rsid w:val="00A43E58"/>
    <w:rsid w:val="00A8495E"/>
    <w:rsid w:val="00AE64A7"/>
    <w:rsid w:val="00BC3A47"/>
    <w:rsid w:val="00C16C12"/>
    <w:rsid w:val="00C300CA"/>
    <w:rsid w:val="00D4596A"/>
    <w:rsid w:val="00D64EE6"/>
    <w:rsid w:val="00E126C4"/>
    <w:rsid w:val="00E35D44"/>
    <w:rsid w:val="00EB34F7"/>
    <w:rsid w:val="00F276CD"/>
    <w:rsid w:val="00F47AF5"/>
    <w:rsid w:val="00F5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124B8"/>
  <w15:chartTrackingRefBased/>
  <w15:docId w15:val="{6FAA6876-834C-4680-B155-37E49AF2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3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3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30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3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3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3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3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3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30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43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3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3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3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3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430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7A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7AF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7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7A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飞燕 史</dc:creator>
  <cp:keywords/>
  <dc:description/>
  <cp:lastModifiedBy>飞燕 史</cp:lastModifiedBy>
  <cp:revision>11</cp:revision>
  <dcterms:created xsi:type="dcterms:W3CDTF">2026-01-23T09:27:00Z</dcterms:created>
  <dcterms:modified xsi:type="dcterms:W3CDTF">2026-02-15T13:04:00Z</dcterms:modified>
</cp:coreProperties>
</file>