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8D0FDE" w14:paraId="3CA33060" w14:textId="77777777" w:rsidTr="3DB9F341">
        <w:tc>
          <w:tcPr>
            <w:tcW w:w="8640" w:type="dxa"/>
            <w:shd w:val="clear" w:color="auto" w:fill="F2F2F2" w:themeFill="background1" w:themeFillShade="F2"/>
          </w:tcPr>
          <w:p w14:paraId="4FED29D5" w14:textId="1AC56DE5" w:rsidR="00C8423A" w:rsidRPr="00A05D58" w:rsidRDefault="00A05D58" w:rsidP="008D0FDE">
            <w:pPr>
              <w:jc w:val="both"/>
              <w:rPr>
                <w:rFonts w:ascii="Arial" w:hAnsi="Arial" w:cs="Arial"/>
                <w:bCs/>
                <w:sz w:val="22"/>
                <w:szCs w:val="22"/>
              </w:rPr>
            </w:pPr>
            <w:r w:rsidRPr="00A05D58">
              <w:rPr>
                <w:rFonts w:ascii="Arial" w:hAnsi="Arial" w:cs="Arial"/>
                <w:bCs/>
                <w:sz w:val="22"/>
                <w:szCs w:val="22"/>
              </w:rPr>
              <w:t>Paper</w:t>
            </w:r>
          </w:p>
          <w:p w14:paraId="0F9EF72D" w14:textId="77777777" w:rsidR="00C8423A" w:rsidRDefault="00935752" w:rsidP="008D0FDE">
            <w:pPr>
              <w:pStyle w:val="Heading1"/>
              <w:spacing w:before="0" w:beforeAutospacing="0" w:after="0" w:afterAutospacing="0"/>
              <w:rPr>
                <w:rFonts w:ascii="Arial" w:hAnsi="Arial" w:cs="Arial"/>
                <w:sz w:val="22"/>
                <w:szCs w:val="22"/>
              </w:rPr>
            </w:pPr>
            <w:r w:rsidRPr="008D0FDE">
              <w:rPr>
                <w:rFonts w:ascii="Arial" w:hAnsi="Arial" w:cs="Arial"/>
                <w:sz w:val="22"/>
                <w:szCs w:val="22"/>
              </w:rPr>
              <w:t>Enabling transformational adaptation through designed transformative practices</w:t>
            </w:r>
          </w:p>
          <w:p w14:paraId="3F7D1534" w14:textId="3FDF3CB6" w:rsidR="00A05D58" w:rsidRPr="008D0FDE" w:rsidRDefault="00A05D58" w:rsidP="008D0FDE">
            <w:pPr>
              <w:pStyle w:val="Heading1"/>
              <w:spacing w:before="0" w:beforeAutospacing="0" w:after="0" w:afterAutospacing="0"/>
              <w:rPr>
                <w:rFonts w:ascii="Arial" w:hAnsi="Arial" w:cs="Arial"/>
                <w:sz w:val="22"/>
                <w:szCs w:val="22"/>
              </w:rPr>
            </w:pPr>
          </w:p>
        </w:tc>
      </w:tr>
      <w:tr w:rsidR="00C8423A" w:rsidRPr="0003525D" w14:paraId="1A1C8C63" w14:textId="77777777" w:rsidTr="3DB9F341">
        <w:trPr>
          <w:trHeight w:val="3124"/>
        </w:trPr>
        <w:tc>
          <w:tcPr>
            <w:tcW w:w="8640" w:type="dxa"/>
          </w:tcPr>
          <w:p w14:paraId="3891D1B2" w14:textId="77777777" w:rsidR="00A05D58" w:rsidRDefault="00A05D58" w:rsidP="00935752">
            <w:pPr>
              <w:pStyle w:val="Heading3"/>
              <w:rPr>
                <w:rFonts w:ascii="Arial" w:hAnsi="Arial" w:cs="Arial"/>
                <w:sz w:val="22"/>
                <w:szCs w:val="22"/>
              </w:rPr>
            </w:pPr>
          </w:p>
          <w:p w14:paraId="40D2784B" w14:textId="43E162A3" w:rsidR="00935752" w:rsidRPr="00265C4A" w:rsidRDefault="00935752" w:rsidP="00935752">
            <w:pPr>
              <w:pStyle w:val="Heading3"/>
              <w:rPr>
                <w:rFonts w:ascii="Arial" w:hAnsi="Arial" w:cs="Arial"/>
                <w:sz w:val="22"/>
                <w:szCs w:val="22"/>
              </w:rPr>
            </w:pPr>
            <w:r w:rsidRPr="00265C4A">
              <w:rPr>
                <w:rFonts w:ascii="Arial" w:hAnsi="Arial" w:cs="Arial"/>
                <w:sz w:val="22"/>
                <w:szCs w:val="22"/>
              </w:rPr>
              <w:t>Introduction</w:t>
            </w:r>
          </w:p>
          <w:p w14:paraId="655DADBC"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Climate change is fundamentally altering social-ecological systems globally, affecting land use, agricultural production, water availability, and biodiversity. When combined with pressures like population growth and economic shifts, these impacts create complex challenges that require transformational responses. Yet conventional adaptation approaches typically produce incremental changes that preserve existing systems rather than enabling the transformational adaptation needed to address climate challenges at their root. This paper contributes to the emerging field of transformational adaptation by presenting a framework of designed transformative practices that build essential capacities for systemic change.</w:t>
            </w:r>
          </w:p>
          <w:p w14:paraId="55DEF2FE" w14:textId="77777777" w:rsidR="00935752" w:rsidRPr="00265C4A" w:rsidRDefault="00935752" w:rsidP="00935752">
            <w:pPr>
              <w:pStyle w:val="Heading3"/>
              <w:rPr>
                <w:rFonts w:ascii="Arial" w:hAnsi="Arial" w:cs="Arial"/>
                <w:sz w:val="22"/>
                <w:szCs w:val="22"/>
              </w:rPr>
            </w:pPr>
            <w:r w:rsidRPr="00265C4A">
              <w:rPr>
                <w:rFonts w:ascii="Arial" w:hAnsi="Arial" w:cs="Arial"/>
                <w:sz w:val="22"/>
                <w:szCs w:val="22"/>
              </w:rPr>
              <w:t>Objectives</w:t>
            </w:r>
          </w:p>
          <w:p w14:paraId="651CD11D" w14:textId="6D991716" w:rsidR="00935752" w:rsidRPr="00265C4A" w:rsidRDefault="3DB9F341" w:rsidP="00935752">
            <w:pPr>
              <w:pStyle w:val="whitespace-pre-wrap"/>
              <w:rPr>
                <w:rFonts w:ascii="Arial" w:hAnsi="Arial" w:cs="Arial"/>
                <w:sz w:val="22"/>
                <w:szCs w:val="22"/>
              </w:rPr>
            </w:pPr>
            <w:r w:rsidRPr="00265C4A">
              <w:rPr>
                <w:rFonts w:ascii="Arial" w:hAnsi="Arial" w:cs="Arial"/>
                <w:sz w:val="22"/>
                <w:szCs w:val="22"/>
              </w:rPr>
              <w:t>This research explores how carefully designed transformative practices can create conditions for communities, organisations, Traditional Owners, and government agencies to identify and implement transformational adaptation strategies that are both resilient and equitable. The study aims to:</w:t>
            </w:r>
          </w:p>
          <w:p w14:paraId="1D8F3362" w14:textId="77777777" w:rsidR="00935752" w:rsidRPr="00265C4A" w:rsidRDefault="00935752" w:rsidP="00935752">
            <w:pPr>
              <w:pStyle w:val="whitespace-normal"/>
              <w:numPr>
                <w:ilvl w:val="0"/>
                <w:numId w:val="4"/>
              </w:numPr>
              <w:rPr>
                <w:rFonts w:ascii="Arial" w:hAnsi="Arial" w:cs="Arial"/>
                <w:sz w:val="22"/>
                <w:szCs w:val="22"/>
              </w:rPr>
            </w:pPr>
            <w:r w:rsidRPr="00265C4A">
              <w:rPr>
                <w:rFonts w:ascii="Arial" w:hAnsi="Arial" w:cs="Arial"/>
                <w:sz w:val="22"/>
                <w:szCs w:val="22"/>
              </w:rPr>
              <w:t>Develop and validate a framework for enabling transformational adaptation to climate change</w:t>
            </w:r>
          </w:p>
          <w:p w14:paraId="19B2F505" w14:textId="77777777" w:rsidR="00935752" w:rsidRPr="00265C4A" w:rsidRDefault="00935752" w:rsidP="00935752">
            <w:pPr>
              <w:pStyle w:val="whitespace-normal"/>
              <w:numPr>
                <w:ilvl w:val="0"/>
                <w:numId w:val="4"/>
              </w:numPr>
              <w:rPr>
                <w:rFonts w:ascii="Arial" w:hAnsi="Arial" w:cs="Arial"/>
                <w:sz w:val="22"/>
                <w:szCs w:val="22"/>
              </w:rPr>
            </w:pPr>
            <w:r w:rsidRPr="00265C4A">
              <w:rPr>
                <w:rFonts w:ascii="Arial" w:hAnsi="Arial" w:cs="Arial"/>
                <w:sz w:val="22"/>
                <w:szCs w:val="22"/>
              </w:rPr>
              <w:t>Identify specific transformative practices that build individual and collective capabilities for systemic change</w:t>
            </w:r>
          </w:p>
          <w:p w14:paraId="016E800F" w14:textId="77777777" w:rsidR="00935752" w:rsidRPr="00265C4A" w:rsidRDefault="00935752" w:rsidP="00935752">
            <w:pPr>
              <w:pStyle w:val="whitespace-normal"/>
              <w:numPr>
                <w:ilvl w:val="0"/>
                <w:numId w:val="4"/>
              </w:numPr>
              <w:rPr>
                <w:rFonts w:ascii="Arial" w:hAnsi="Arial" w:cs="Arial"/>
                <w:sz w:val="22"/>
                <w:szCs w:val="22"/>
              </w:rPr>
            </w:pPr>
            <w:r w:rsidRPr="00265C4A">
              <w:rPr>
                <w:rFonts w:ascii="Arial" w:hAnsi="Arial" w:cs="Arial"/>
                <w:sz w:val="22"/>
                <w:szCs w:val="22"/>
              </w:rPr>
              <w:t>Demonstrate how integrating systems thinking, futures thinking, and Indigenous ways of knowing can expand the solution space for climate adaptation</w:t>
            </w:r>
          </w:p>
          <w:p w14:paraId="07337E9E" w14:textId="77777777" w:rsidR="00935752" w:rsidRPr="00265C4A" w:rsidRDefault="00935752" w:rsidP="00935752">
            <w:pPr>
              <w:pStyle w:val="Heading3"/>
              <w:rPr>
                <w:rFonts w:ascii="Arial" w:hAnsi="Arial" w:cs="Arial"/>
                <w:sz w:val="22"/>
                <w:szCs w:val="22"/>
              </w:rPr>
            </w:pPr>
            <w:r w:rsidRPr="00265C4A">
              <w:rPr>
                <w:rFonts w:ascii="Arial" w:hAnsi="Arial" w:cs="Arial"/>
                <w:sz w:val="22"/>
                <w:szCs w:val="22"/>
              </w:rPr>
              <w:t>Methodology</w:t>
            </w:r>
          </w:p>
          <w:p w14:paraId="5D8D2B98"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The framework was developed through participatory action research in the Bellarine landscape (Australia), iteratively designing and testing transformative practices in immersive workshop settings. Methodological elements included interactive spatial mapping using large-format "Big Maps" with transparent overlays, systems mapping incorporating temporal dimensions (the "</w:t>
            </w:r>
            <w:proofErr w:type="spellStart"/>
            <w:r w:rsidRPr="00265C4A">
              <w:rPr>
                <w:rFonts w:ascii="Arial" w:hAnsi="Arial" w:cs="Arial"/>
                <w:sz w:val="22"/>
                <w:szCs w:val="22"/>
              </w:rPr>
              <w:t>Murnong</w:t>
            </w:r>
            <w:proofErr w:type="spellEnd"/>
            <w:r w:rsidRPr="00265C4A">
              <w:rPr>
                <w:rFonts w:ascii="Arial" w:hAnsi="Arial" w:cs="Arial"/>
                <w:sz w:val="22"/>
                <w:szCs w:val="22"/>
              </w:rPr>
              <w:t xml:space="preserve"> Map" approach), and Yarning Circles for deep listening and relationship understanding.</w:t>
            </w:r>
          </w:p>
          <w:p w14:paraId="0BCE5468" w14:textId="5CCC593B" w:rsidR="00935752" w:rsidRPr="00265C4A" w:rsidRDefault="3DB9F341" w:rsidP="00935752">
            <w:pPr>
              <w:pStyle w:val="whitespace-pre-wrap"/>
              <w:rPr>
                <w:rFonts w:ascii="Arial" w:hAnsi="Arial" w:cs="Arial"/>
                <w:sz w:val="22"/>
                <w:szCs w:val="22"/>
              </w:rPr>
            </w:pPr>
            <w:r w:rsidRPr="00265C4A">
              <w:rPr>
                <w:rFonts w:ascii="Arial" w:hAnsi="Arial" w:cs="Arial"/>
                <w:sz w:val="22"/>
                <w:szCs w:val="22"/>
              </w:rPr>
              <w:t>The approach integrated multiple theoretical frameworks including causal layered analysis (Inayatullah, 1998), multi-level perspective (Geels, 2011), and transition theory (</w:t>
            </w:r>
            <w:proofErr w:type="spellStart"/>
            <w:r w:rsidRPr="00265C4A">
              <w:rPr>
                <w:rFonts w:ascii="Arial" w:hAnsi="Arial" w:cs="Arial"/>
                <w:sz w:val="22"/>
                <w:szCs w:val="22"/>
              </w:rPr>
              <w:t>Loorbach</w:t>
            </w:r>
            <w:proofErr w:type="spellEnd"/>
            <w:r w:rsidRPr="00265C4A">
              <w:rPr>
                <w:rFonts w:ascii="Arial" w:hAnsi="Arial" w:cs="Arial"/>
                <w:sz w:val="22"/>
                <w:szCs w:val="22"/>
              </w:rPr>
              <w:t xml:space="preserve">, 2010) visual pattern thinking (Schultz, 2024). Practices were specifically designed to develop three critical capacities identified in the literature: </w:t>
            </w:r>
            <w:r w:rsidRPr="00265C4A">
              <w:rPr>
                <w:rFonts w:ascii="Arial" w:hAnsi="Arial" w:cs="Arial"/>
                <w:sz w:val="22"/>
                <w:szCs w:val="22"/>
              </w:rPr>
              <w:lastRenderedPageBreak/>
              <w:t>systemic inquiry, embracing uncertainty, and courageous leadership (Lonsdale et al., 2015).</w:t>
            </w:r>
          </w:p>
          <w:p w14:paraId="0588BE0D" w14:textId="77777777" w:rsidR="00935752" w:rsidRPr="00265C4A" w:rsidRDefault="00935752" w:rsidP="00935752">
            <w:pPr>
              <w:pStyle w:val="Heading3"/>
              <w:rPr>
                <w:rFonts w:ascii="Arial" w:hAnsi="Arial" w:cs="Arial"/>
                <w:sz w:val="22"/>
                <w:szCs w:val="22"/>
              </w:rPr>
            </w:pPr>
            <w:r w:rsidRPr="00265C4A">
              <w:rPr>
                <w:rFonts w:ascii="Arial" w:hAnsi="Arial" w:cs="Arial"/>
                <w:sz w:val="22"/>
                <w:szCs w:val="22"/>
              </w:rPr>
              <w:t>Findings</w:t>
            </w:r>
          </w:p>
          <w:p w14:paraId="69EFA8E6"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Our work with climate adaptation practitioners demonstrates that carefully designed transformative practices effectively create conditions for transformational adaptation by:</w:t>
            </w:r>
          </w:p>
          <w:p w14:paraId="2A2F77E4" w14:textId="77777777" w:rsidR="00935752" w:rsidRPr="00265C4A" w:rsidRDefault="00935752" w:rsidP="00935752">
            <w:pPr>
              <w:pStyle w:val="whitespace-normal"/>
              <w:numPr>
                <w:ilvl w:val="0"/>
                <w:numId w:val="5"/>
              </w:numPr>
              <w:rPr>
                <w:rFonts w:ascii="Arial" w:hAnsi="Arial" w:cs="Arial"/>
                <w:sz w:val="22"/>
                <w:szCs w:val="22"/>
              </w:rPr>
            </w:pPr>
            <w:r w:rsidRPr="00265C4A">
              <w:rPr>
                <w:rFonts w:ascii="Arial" w:hAnsi="Arial" w:cs="Arial"/>
                <w:sz w:val="22"/>
                <w:szCs w:val="22"/>
              </w:rPr>
              <w:t>Expanding participants' understanding of system dynamics and interconnections across scales and domains</w:t>
            </w:r>
          </w:p>
          <w:p w14:paraId="7A1734B9" w14:textId="77777777" w:rsidR="00935752" w:rsidRPr="00265C4A" w:rsidRDefault="00935752" w:rsidP="00935752">
            <w:pPr>
              <w:pStyle w:val="whitespace-normal"/>
              <w:numPr>
                <w:ilvl w:val="0"/>
                <w:numId w:val="5"/>
              </w:numPr>
              <w:rPr>
                <w:rFonts w:ascii="Arial" w:hAnsi="Arial" w:cs="Arial"/>
                <w:sz w:val="22"/>
                <w:szCs w:val="22"/>
              </w:rPr>
            </w:pPr>
            <w:r w:rsidRPr="00265C4A">
              <w:rPr>
                <w:rFonts w:ascii="Arial" w:hAnsi="Arial" w:cs="Arial"/>
                <w:sz w:val="22"/>
                <w:szCs w:val="22"/>
              </w:rPr>
              <w:t>Building capability to work with uncertainty and complexity through structured engagement with climate projections</w:t>
            </w:r>
          </w:p>
          <w:p w14:paraId="674EA7AC" w14:textId="77777777" w:rsidR="00935752" w:rsidRPr="00265C4A" w:rsidRDefault="00935752" w:rsidP="00935752">
            <w:pPr>
              <w:pStyle w:val="whitespace-normal"/>
              <w:numPr>
                <w:ilvl w:val="0"/>
                <w:numId w:val="5"/>
              </w:numPr>
              <w:rPr>
                <w:rFonts w:ascii="Arial" w:hAnsi="Arial" w:cs="Arial"/>
                <w:sz w:val="22"/>
                <w:szCs w:val="22"/>
              </w:rPr>
            </w:pPr>
            <w:r w:rsidRPr="00265C4A">
              <w:rPr>
                <w:rFonts w:ascii="Arial" w:hAnsi="Arial" w:cs="Arial"/>
                <w:sz w:val="22"/>
                <w:szCs w:val="22"/>
              </w:rPr>
              <w:t>Increasing sense of agency and hope among participants, countering climate anxiety and inaction</w:t>
            </w:r>
          </w:p>
          <w:p w14:paraId="4F836519" w14:textId="77777777" w:rsidR="00935752" w:rsidRPr="00265C4A" w:rsidRDefault="00935752" w:rsidP="00935752">
            <w:pPr>
              <w:pStyle w:val="whitespace-normal"/>
              <w:numPr>
                <w:ilvl w:val="0"/>
                <w:numId w:val="5"/>
              </w:numPr>
              <w:rPr>
                <w:rFonts w:ascii="Arial" w:hAnsi="Arial" w:cs="Arial"/>
                <w:sz w:val="22"/>
                <w:szCs w:val="22"/>
              </w:rPr>
            </w:pPr>
            <w:r w:rsidRPr="00265C4A">
              <w:rPr>
                <w:rFonts w:ascii="Arial" w:hAnsi="Arial" w:cs="Arial"/>
                <w:sz w:val="22"/>
                <w:szCs w:val="22"/>
              </w:rPr>
              <w:t>Generating concrete ideas for transformational system-level changes rather than site-specific protections</w:t>
            </w:r>
          </w:p>
          <w:p w14:paraId="7ECA5455" w14:textId="77777777" w:rsidR="00935752" w:rsidRPr="00265C4A" w:rsidRDefault="00935752" w:rsidP="00935752">
            <w:pPr>
              <w:pStyle w:val="whitespace-normal"/>
              <w:numPr>
                <w:ilvl w:val="0"/>
                <w:numId w:val="5"/>
              </w:numPr>
              <w:rPr>
                <w:rFonts w:ascii="Arial" w:hAnsi="Arial" w:cs="Arial"/>
                <w:sz w:val="22"/>
                <w:szCs w:val="22"/>
              </w:rPr>
            </w:pPr>
            <w:r w:rsidRPr="00265C4A">
              <w:rPr>
                <w:rFonts w:ascii="Arial" w:hAnsi="Arial" w:cs="Arial"/>
                <w:sz w:val="22"/>
                <w:szCs w:val="22"/>
              </w:rPr>
              <w:t>Strengthening relationships and trust between diverse stakeholders</w:t>
            </w:r>
          </w:p>
          <w:p w14:paraId="3312426E"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As researchers and practitioners, we experienced profound development in our own capacities during this project, highlighting the importance of investing in "learning facilitators" who can guide transformative processes.</w:t>
            </w:r>
          </w:p>
          <w:p w14:paraId="5E8B520C" w14:textId="77777777" w:rsidR="00935752" w:rsidRPr="00265C4A" w:rsidRDefault="00935752" w:rsidP="00935752">
            <w:pPr>
              <w:pStyle w:val="Heading3"/>
              <w:rPr>
                <w:rFonts w:ascii="Arial" w:hAnsi="Arial" w:cs="Arial"/>
                <w:sz w:val="22"/>
                <w:szCs w:val="22"/>
              </w:rPr>
            </w:pPr>
            <w:r w:rsidRPr="00265C4A">
              <w:rPr>
                <w:rFonts w:ascii="Arial" w:hAnsi="Arial" w:cs="Arial"/>
                <w:sz w:val="22"/>
                <w:szCs w:val="22"/>
              </w:rPr>
              <w:t>Significance for Policy and Practice</w:t>
            </w:r>
          </w:p>
          <w:p w14:paraId="21D77944" w14:textId="36DD8C8F" w:rsidR="00935752" w:rsidRPr="00265C4A" w:rsidRDefault="3DB9F341" w:rsidP="00935752">
            <w:pPr>
              <w:pStyle w:val="whitespace-pre-wrap"/>
              <w:rPr>
                <w:rFonts w:ascii="Arial" w:hAnsi="Arial" w:cs="Arial"/>
                <w:sz w:val="22"/>
                <w:szCs w:val="22"/>
              </w:rPr>
            </w:pPr>
            <w:r w:rsidRPr="00265C4A">
              <w:rPr>
                <w:rFonts w:ascii="Arial" w:hAnsi="Arial" w:cs="Arial"/>
                <w:sz w:val="22"/>
                <w:szCs w:val="22"/>
              </w:rPr>
              <w:t>This framework offers practical guidance for enabling transformational adaptation across different contexts and scales. For policymakers, it provides a pathway beyond incremental changes to more transformative responses. For practitioners, it offers specific tools and approaches that build individual and collective capabilities for addressing complex climate challenges. The integration of Indigenous and Western knowledge systems provides a more holistic approach to adaptation planning that honours multiple ways of knowing and centres intergenerational equity.</w:t>
            </w:r>
          </w:p>
          <w:p w14:paraId="6253F68D" w14:textId="77777777" w:rsidR="00935752" w:rsidRPr="00265C4A" w:rsidRDefault="00935752" w:rsidP="00935752">
            <w:pPr>
              <w:pStyle w:val="Heading2"/>
              <w:rPr>
                <w:rFonts w:ascii="Arial" w:hAnsi="Arial" w:cs="Arial"/>
                <w:sz w:val="22"/>
                <w:szCs w:val="22"/>
              </w:rPr>
            </w:pPr>
            <w:r w:rsidRPr="00265C4A">
              <w:rPr>
                <w:rFonts w:ascii="Arial" w:hAnsi="Arial" w:cs="Arial"/>
                <w:sz w:val="22"/>
                <w:szCs w:val="22"/>
              </w:rPr>
              <w:t>References</w:t>
            </w:r>
          </w:p>
          <w:p w14:paraId="4A2658B0"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Geels, F. W. (2011). The multi-level perspective on sustainability transitions: Responses to seven criticisms. Environmental Innovation and Societal Transitions, 1(1), 24-40.</w:t>
            </w:r>
          </w:p>
          <w:p w14:paraId="3C252D22"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Inayatullah, S. (1998). Causal layered analysis: Poststructuralism as method. Futures, 30(8), 815-829.</w:t>
            </w:r>
          </w:p>
          <w:p w14:paraId="794138FB" w14:textId="77777777" w:rsidR="00935752" w:rsidRPr="00265C4A" w:rsidRDefault="00935752" w:rsidP="00935752">
            <w:pPr>
              <w:pStyle w:val="whitespace-pre-wrap"/>
              <w:rPr>
                <w:rFonts w:ascii="Arial" w:hAnsi="Arial" w:cs="Arial"/>
                <w:sz w:val="22"/>
                <w:szCs w:val="22"/>
              </w:rPr>
            </w:pPr>
            <w:r w:rsidRPr="00265C4A">
              <w:rPr>
                <w:rFonts w:ascii="Arial" w:hAnsi="Arial" w:cs="Arial"/>
                <w:sz w:val="22"/>
                <w:szCs w:val="22"/>
              </w:rPr>
              <w:t>Lonsdale, K., Pringle, P., &amp; Turner, B. (2015). Transformative adaptation: What it is, why it matters and what is needed. UK Climate Impacts Programme, University of Oxford.</w:t>
            </w:r>
          </w:p>
          <w:p w14:paraId="5633E7E6" w14:textId="77777777" w:rsidR="00935752" w:rsidRPr="00265C4A" w:rsidRDefault="00935752" w:rsidP="00935752">
            <w:pPr>
              <w:pStyle w:val="whitespace-pre-wrap"/>
              <w:rPr>
                <w:rFonts w:ascii="Arial" w:hAnsi="Arial" w:cs="Arial"/>
                <w:sz w:val="22"/>
                <w:szCs w:val="22"/>
              </w:rPr>
            </w:pPr>
            <w:proofErr w:type="spellStart"/>
            <w:r w:rsidRPr="00265C4A">
              <w:rPr>
                <w:rFonts w:ascii="Arial" w:hAnsi="Arial" w:cs="Arial"/>
                <w:sz w:val="22"/>
                <w:szCs w:val="22"/>
              </w:rPr>
              <w:t>Loorbach</w:t>
            </w:r>
            <w:proofErr w:type="spellEnd"/>
            <w:r w:rsidRPr="00265C4A">
              <w:rPr>
                <w:rFonts w:ascii="Arial" w:hAnsi="Arial" w:cs="Arial"/>
                <w:sz w:val="22"/>
                <w:szCs w:val="22"/>
              </w:rPr>
              <w:t>, D. (2010). Transition management for sustainable development: A prescriptive, complexity-based governance framework. Governance, 23(1), 161-183.</w:t>
            </w:r>
          </w:p>
          <w:p w14:paraId="20543FFE" w14:textId="77777777" w:rsidR="00935752" w:rsidRPr="00265C4A" w:rsidRDefault="3DB9F341" w:rsidP="00935752">
            <w:pPr>
              <w:pStyle w:val="whitespace-pre-wrap"/>
              <w:rPr>
                <w:rFonts w:ascii="Arial" w:hAnsi="Arial" w:cs="Arial"/>
                <w:sz w:val="22"/>
                <w:szCs w:val="22"/>
              </w:rPr>
            </w:pPr>
            <w:r w:rsidRPr="00265C4A">
              <w:rPr>
                <w:rFonts w:ascii="Arial" w:hAnsi="Arial" w:cs="Arial"/>
                <w:sz w:val="22"/>
                <w:szCs w:val="22"/>
              </w:rPr>
              <w:lastRenderedPageBreak/>
              <w:t>Fedele, G., Donatti, C. I., Harvey, C. A., Hannah, L., &amp; Hole, D. G. (2019). Transformative adaptation to climate change for sustainable social-ecological systems. Environmental Science &amp; Policy, 101, 116-125.</w:t>
            </w:r>
          </w:p>
          <w:p w14:paraId="1A078683" w14:textId="4936D97B" w:rsidR="00BE58D6" w:rsidRPr="0063488D" w:rsidRDefault="3DB9F341" w:rsidP="0063488D">
            <w:pPr>
              <w:rPr>
                <w:rFonts w:ascii="Arial" w:hAnsi="Arial" w:cs="Arial"/>
                <w:sz w:val="22"/>
                <w:szCs w:val="22"/>
                <w:lang w:val="en-AU"/>
              </w:rPr>
            </w:pPr>
            <w:r w:rsidRPr="00265C4A">
              <w:rPr>
                <w:rFonts w:ascii="Arial" w:hAnsi="Arial" w:cs="Arial"/>
                <w:sz w:val="22"/>
                <w:szCs w:val="22"/>
                <w:lang w:val="en-AU"/>
              </w:rPr>
              <w:t>Schultz, T., &amp; Sheehan, N. (2024). Visual Pattern Thinking Through Indigenous Respectful Design Systems and Ants. In N. Sheehan, D. S. Jones, J. Creighton, &amp; S. Harrington (Eds.), Heritage, Indigenous Doing, and Wellbeing Voices of Country. Routledge.</w:t>
            </w:r>
          </w:p>
          <w:p w14:paraId="2CBAECD6" w14:textId="729DADBB" w:rsidR="009F4EA0" w:rsidRPr="000D7047" w:rsidRDefault="009F4EA0" w:rsidP="00C32ACF">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2F0111"/>
    <w:multiLevelType w:val="multilevel"/>
    <w:tmpl w:val="1B38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FD3BA3"/>
    <w:multiLevelType w:val="multilevel"/>
    <w:tmpl w:val="2AB8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316374630">
    <w:abstractNumId w:val="1"/>
  </w:num>
  <w:num w:numId="4" w16cid:durableId="94835268">
    <w:abstractNumId w:val="2"/>
  </w:num>
  <w:num w:numId="5" w16cid:durableId="115881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3215"/>
    <w:rsid w:val="000E6E54"/>
    <w:rsid w:val="00105E39"/>
    <w:rsid w:val="00132AE5"/>
    <w:rsid w:val="00150FCF"/>
    <w:rsid w:val="00155315"/>
    <w:rsid w:val="00181B1E"/>
    <w:rsid w:val="00247C60"/>
    <w:rsid w:val="00256963"/>
    <w:rsid w:val="00265C4A"/>
    <w:rsid w:val="002D287B"/>
    <w:rsid w:val="002E3AA3"/>
    <w:rsid w:val="003013B2"/>
    <w:rsid w:val="00317356"/>
    <w:rsid w:val="0034503D"/>
    <w:rsid w:val="00353171"/>
    <w:rsid w:val="00354C31"/>
    <w:rsid w:val="00375B20"/>
    <w:rsid w:val="00386525"/>
    <w:rsid w:val="00386D01"/>
    <w:rsid w:val="004049E7"/>
    <w:rsid w:val="00455D3D"/>
    <w:rsid w:val="00462B90"/>
    <w:rsid w:val="00466835"/>
    <w:rsid w:val="004828A0"/>
    <w:rsid w:val="004B69C7"/>
    <w:rsid w:val="004D193B"/>
    <w:rsid w:val="004F4CE8"/>
    <w:rsid w:val="004F5C81"/>
    <w:rsid w:val="0050785A"/>
    <w:rsid w:val="0053222C"/>
    <w:rsid w:val="005469BD"/>
    <w:rsid w:val="00550B17"/>
    <w:rsid w:val="005854B8"/>
    <w:rsid w:val="0063488D"/>
    <w:rsid w:val="0065012F"/>
    <w:rsid w:val="0068043B"/>
    <w:rsid w:val="00681CA7"/>
    <w:rsid w:val="006848C8"/>
    <w:rsid w:val="00767298"/>
    <w:rsid w:val="007E3A1C"/>
    <w:rsid w:val="008235E8"/>
    <w:rsid w:val="008773DF"/>
    <w:rsid w:val="008A3B4C"/>
    <w:rsid w:val="008B01BA"/>
    <w:rsid w:val="008B50A0"/>
    <w:rsid w:val="008C0C35"/>
    <w:rsid w:val="008C22AD"/>
    <w:rsid w:val="008C2633"/>
    <w:rsid w:val="008D0FDE"/>
    <w:rsid w:val="008E3D8D"/>
    <w:rsid w:val="008E5721"/>
    <w:rsid w:val="008F2F93"/>
    <w:rsid w:val="009010B0"/>
    <w:rsid w:val="00906B39"/>
    <w:rsid w:val="00935752"/>
    <w:rsid w:val="00963443"/>
    <w:rsid w:val="009C374A"/>
    <w:rsid w:val="009F4EA0"/>
    <w:rsid w:val="00A05D58"/>
    <w:rsid w:val="00A46F76"/>
    <w:rsid w:val="00A95D13"/>
    <w:rsid w:val="00B026E8"/>
    <w:rsid w:val="00BA0872"/>
    <w:rsid w:val="00BA26BB"/>
    <w:rsid w:val="00BC6810"/>
    <w:rsid w:val="00BE0B4D"/>
    <w:rsid w:val="00BE58D6"/>
    <w:rsid w:val="00C021DB"/>
    <w:rsid w:val="00C26081"/>
    <w:rsid w:val="00C32ACF"/>
    <w:rsid w:val="00C4126D"/>
    <w:rsid w:val="00C64E9B"/>
    <w:rsid w:val="00C76C99"/>
    <w:rsid w:val="00C8423A"/>
    <w:rsid w:val="00CE53FE"/>
    <w:rsid w:val="00D716AD"/>
    <w:rsid w:val="00DB7929"/>
    <w:rsid w:val="00DD1BB3"/>
    <w:rsid w:val="00E23658"/>
    <w:rsid w:val="00E40672"/>
    <w:rsid w:val="00E612FF"/>
    <w:rsid w:val="00EB1B31"/>
    <w:rsid w:val="00EC2BDB"/>
    <w:rsid w:val="00F00C6E"/>
    <w:rsid w:val="00F07BEE"/>
    <w:rsid w:val="00F27F5C"/>
    <w:rsid w:val="00F575A7"/>
    <w:rsid w:val="00F818D6"/>
    <w:rsid w:val="00FA372B"/>
    <w:rsid w:val="0CD56418"/>
    <w:rsid w:val="1F2FC6E2"/>
    <w:rsid w:val="3DB9F341"/>
    <w:rsid w:val="4AC52AC1"/>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B770DBF6-3BB9-412A-A7F9-8B982A30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5752"/>
    <w:pPr>
      <w:spacing w:before="100" w:beforeAutospacing="1" w:after="100" w:afterAutospacing="1"/>
      <w:outlineLvl w:val="0"/>
    </w:pPr>
    <w:rPr>
      <w:rFonts w:ascii="Times New Roman" w:eastAsia="Times New Roman" w:hAnsi="Times New Roman" w:cs="Times New Roman"/>
      <w:b/>
      <w:bCs/>
      <w:kern w:val="36"/>
      <w:sz w:val="48"/>
      <w:szCs w:val="48"/>
      <w:lang w:val="en-AU" w:eastAsia="en-GB"/>
    </w:rPr>
  </w:style>
  <w:style w:type="paragraph" w:styleId="Heading2">
    <w:name w:val="heading 2"/>
    <w:basedOn w:val="Normal"/>
    <w:link w:val="Heading2Char"/>
    <w:uiPriority w:val="9"/>
    <w:qFormat/>
    <w:rsid w:val="00935752"/>
    <w:pPr>
      <w:spacing w:before="100" w:beforeAutospacing="1" w:after="100" w:afterAutospacing="1"/>
      <w:outlineLvl w:val="1"/>
    </w:pPr>
    <w:rPr>
      <w:rFonts w:ascii="Times New Roman" w:eastAsia="Times New Roman" w:hAnsi="Times New Roman" w:cs="Times New Roman"/>
      <w:b/>
      <w:bCs/>
      <w:sz w:val="36"/>
      <w:szCs w:val="36"/>
      <w:lang w:val="en-AU" w:eastAsia="en-GB"/>
    </w:rPr>
  </w:style>
  <w:style w:type="paragraph" w:styleId="Heading3">
    <w:name w:val="heading 3"/>
    <w:basedOn w:val="Normal"/>
    <w:link w:val="Heading3Char"/>
    <w:uiPriority w:val="9"/>
    <w:qFormat/>
    <w:rsid w:val="00935752"/>
    <w:pPr>
      <w:spacing w:before="100" w:beforeAutospacing="1" w:after="100" w:afterAutospacing="1"/>
      <w:outlineLvl w:val="2"/>
    </w:pPr>
    <w:rPr>
      <w:rFonts w:ascii="Times New Roman" w:eastAsia="Times New Roman" w:hAnsi="Times New Roman" w:cs="Times New Roman"/>
      <w:b/>
      <w:bCs/>
      <w:sz w:val="27"/>
      <w:szCs w:val="27"/>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normaltextrun">
    <w:name w:val="normaltextrun"/>
    <w:basedOn w:val="DefaultParagraphFont"/>
    <w:uiPriority w:val="1"/>
    <w:rsid w:val="4AC52AC1"/>
    <w:rPr>
      <w:rFonts w:asciiTheme="minorHAnsi" w:eastAsiaTheme="minorEastAsia" w:hAnsiTheme="minorHAnsi" w:cstheme="minorBidi"/>
      <w:sz w:val="24"/>
      <w:szCs w:val="24"/>
      <w:lang w:val="en-AU"/>
    </w:rPr>
  </w:style>
  <w:style w:type="character" w:customStyle="1" w:styleId="Heading1Char">
    <w:name w:val="Heading 1 Char"/>
    <w:basedOn w:val="DefaultParagraphFont"/>
    <w:link w:val="Heading1"/>
    <w:uiPriority w:val="9"/>
    <w:rsid w:val="00935752"/>
    <w:rPr>
      <w:rFonts w:ascii="Times New Roman" w:eastAsia="Times New Roman" w:hAnsi="Times New Roman" w:cs="Times New Roman"/>
      <w:b/>
      <w:bCs/>
      <w:kern w:val="36"/>
      <w:sz w:val="48"/>
      <w:szCs w:val="48"/>
      <w:lang w:val="en-AU" w:eastAsia="en-GB"/>
    </w:rPr>
  </w:style>
  <w:style w:type="character" w:customStyle="1" w:styleId="Heading2Char">
    <w:name w:val="Heading 2 Char"/>
    <w:basedOn w:val="DefaultParagraphFont"/>
    <w:link w:val="Heading2"/>
    <w:uiPriority w:val="9"/>
    <w:rsid w:val="00935752"/>
    <w:rPr>
      <w:rFonts w:ascii="Times New Roman" w:eastAsia="Times New Roman" w:hAnsi="Times New Roman" w:cs="Times New Roman"/>
      <w:b/>
      <w:bCs/>
      <w:sz w:val="36"/>
      <w:szCs w:val="36"/>
      <w:lang w:val="en-AU" w:eastAsia="en-GB"/>
    </w:rPr>
  </w:style>
  <w:style w:type="character" w:customStyle="1" w:styleId="Heading3Char">
    <w:name w:val="Heading 3 Char"/>
    <w:basedOn w:val="DefaultParagraphFont"/>
    <w:link w:val="Heading3"/>
    <w:uiPriority w:val="9"/>
    <w:rsid w:val="00935752"/>
    <w:rPr>
      <w:rFonts w:ascii="Times New Roman" w:eastAsia="Times New Roman" w:hAnsi="Times New Roman" w:cs="Times New Roman"/>
      <w:b/>
      <w:bCs/>
      <w:sz w:val="27"/>
      <w:szCs w:val="27"/>
      <w:lang w:val="en-AU" w:eastAsia="en-GB"/>
    </w:rPr>
  </w:style>
  <w:style w:type="paragraph" w:customStyle="1" w:styleId="whitespace-pre-wrap">
    <w:name w:val="whitespace-pre-wrap"/>
    <w:basedOn w:val="Normal"/>
    <w:rsid w:val="00935752"/>
    <w:pPr>
      <w:spacing w:before="100" w:beforeAutospacing="1" w:after="100" w:afterAutospacing="1"/>
    </w:pPr>
    <w:rPr>
      <w:rFonts w:ascii="Times New Roman" w:eastAsia="Times New Roman" w:hAnsi="Times New Roman" w:cs="Times New Roman"/>
      <w:lang w:val="en-AU" w:eastAsia="en-GB"/>
    </w:rPr>
  </w:style>
  <w:style w:type="paragraph" w:customStyle="1" w:styleId="whitespace-normal">
    <w:name w:val="whitespace-normal"/>
    <w:basedOn w:val="Normal"/>
    <w:rsid w:val="00935752"/>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6424">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cp:lastPrinted>2025-02-28T02:14:00Z</cp:lastPrinted>
  <dcterms:created xsi:type="dcterms:W3CDTF">2025-02-28T02:14:00Z</dcterms:created>
  <dcterms:modified xsi:type="dcterms:W3CDTF">2025-08-18T22:47:00Z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