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771F2AA" w:rsidR="001564A4" w:rsidRPr="0050053A" w:rsidRDefault="00C444D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C444D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Physical capacity and inactivity in obstructive airway diseases</w:t>
            </w:r>
          </w:p>
        </w:tc>
      </w:tr>
      <w:tr w:rsidR="001564A4" w:rsidRPr="004162F2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984ABCA" w:rsidR="001564A4" w:rsidRPr="002103A7" w:rsidRDefault="002103A7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it-IT" w:eastAsia="zh-CN"/>
              </w:rPr>
            </w:pP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Paola D Urroz Guerrero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Hayley Lewthwaite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Peter G Gibson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1,3,4,5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Vanessa L Clark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Laura Cordova-Rivera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6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Vanessa M McDonald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1,2,3,4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4779B57" w14:textId="7D0F7296" w:rsidR="00BE3D71" w:rsidRPr="00C84370" w:rsidRDefault="00BE3D71" w:rsidP="00BE3D7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National Health and Medical Research Council Centre for Research Excellence in Treatable Traits, University of Newcastle, New Lambton Heights, Australia</w:t>
            </w:r>
          </w:p>
          <w:p w14:paraId="2B8F3DC3" w14:textId="607CFD7A" w:rsidR="00BE3D71" w:rsidRPr="00C84370" w:rsidRDefault="00BE3D71" w:rsidP="00BE3D7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School of Nursing and Midwifery, University of Newcastle, Callaghan, Australia</w:t>
            </w:r>
          </w:p>
          <w:p w14:paraId="31411DB5" w14:textId="631FF59F" w:rsidR="00BE3D71" w:rsidRPr="00C84370" w:rsidRDefault="00BE3D71" w:rsidP="00BE3D7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3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Asthma and Breathing Program, Hunter Medical Research Institute, New Lambton Heights, NSW, Australia</w:t>
            </w:r>
          </w:p>
          <w:p w14:paraId="2A1D879D" w14:textId="22BADD7D" w:rsidR="00BE3D71" w:rsidRPr="00C84370" w:rsidRDefault="00BE3D71" w:rsidP="00BE3D7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4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Department of Respiratory and Sleep Medicine, John Hunter Hospital, New Lambton Heights, Australia</w:t>
            </w:r>
          </w:p>
          <w:p w14:paraId="49E86A3A" w14:textId="3C91F3DA" w:rsidR="00BE3D71" w:rsidRPr="00C84370" w:rsidRDefault="00BE3D71" w:rsidP="00BE3D7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5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School of Medicine and Public Health, University of Newcastle, Callaghan, Australia</w:t>
            </w:r>
          </w:p>
          <w:p w14:paraId="45ED36BF" w14:textId="2771D4A6" w:rsidR="00833142" w:rsidRPr="00611238" w:rsidRDefault="00BE3D71" w:rsidP="004E353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6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Translational and Clinical Research Institute, Newcastle University, Newcastle upon Tyne, United Kingdom</w:t>
            </w:r>
          </w:p>
        </w:tc>
      </w:tr>
      <w:tr w:rsidR="001564A4" w:rsidRPr="0050053A" w14:paraId="6DAF615A" w14:textId="77777777" w:rsidTr="007D5F36">
        <w:trPr>
          <w:trHeight w:hRule="exact" w:val="9391"/>
          <w:jc w:val="center"/>
        </w:trPr>
        <w:tc>
          <w:tcPr>
            <w:tcW w:w="8640" w:type="dxa"/>
            <w:shd w:val="clear" w:color="auto" w:fill="auto"/>
          </w:tcPr>
          <w:p w14:paraId="7B670C70" w14:textId="1A9CE35F" w:rsidR="007027C9" w:rsidRPr="004030A1" w:rsidRDefault="00611238" w:rsidP="007B1071">
            <w:pPr>
              <w:pStyle w:val="Pa12"/>
              <w:jc w:val="both"/>
              <w:rPr>
                <w:sz w:val="22"/>
                <w:szCs w:val="22"/>
              </w:rPr>
            </w:pPr>
            <w:r w:rsidRPr="001A354C">
              <w:rPr>
                <w:rStyle w:val="A4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5" behindDoc="0" locked="0" layoutInCell="1" allowOverlap="1" wp14:anchorId="4D7ADD64" wp14:editId="73F57142">
                      <wp:simplePos x="0" y="0"/>
                      <wp:positionH relativeFrom="column">
                        <wp:posOffset>3571240</wp:posOffset>
                      </wp:positionH>
                      <wp:positionV relativeFrom="paragraph">
                        <wp:posOffset>86360</wp:posOffset>
                      </wp:positionV>
                      <wp:extent cx="1719580" cy="17716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9580" cy="177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D7FF38" w14:textId="77777777" w:rsidR="001A354C" w:rsidRDefault="001A354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7CEC84E" w14:textId="77777777" w:rsidR="001A354C" w:rsidRDefault="001A354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889086" w14:textId="77777777" w:rsidR="001A354C" w:rsidRDefault="001A354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D1CDB32" w14:textId="77777777" w:rsidR="001A354C" w:rsidRDefault="001A354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852FB04" w14:textId="77777777" w:rsidR="001A354C" w:rsidRDefault="001A354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820F5E" w14:textId="77777777" w:rsidR="001A354C" w:rsidRDefault="001A354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B7694D" w14:textId="77777777" w:rsidR="001A354C" w:rsidRDefault="001A354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545DE8" w14:textId="77777777" w:rsidR="00A94917" w:rsidRDefault="00A94917" w:rsidP="001A35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ED14730" w14:textId="77777777" w:rsidR="00611238" w:rsidRDefault="00611238" w:rsidP="001A35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A5359B" w14:textId="77777777" w:rsidR="00611238" w:rsidRDefault="00611238" w:rsidP="001A35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13DA77" w14:textId="0244E8D7" w:rsidR="001A354C" w:rsidRPr="00611238" w:rsidRDefault="001A354C" w:rsidP="001A35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1123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Figure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ADD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1.2pt;margin-top:6.8pt;width:135.4pt;height:139.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" stroked="f" strokeweight=".25pt">
                      <v:textbox>
                        <w:txbxContent>
                          <w:p w14:paraId="29D7FF38" w14:textId="77777777" w:rsidR="001A354C" w:rsidRDefault="001A35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CEC84E" w14:textId="77777777" w:rsidR="001A354C" w:rsidRDefault="001A35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889086" w14:textId="77777777" w:rsidR="001A354C" w:rsidRDefault="001A35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1CDB32" w14:textId="77777777" w:rsidR="001A354C" w:rsidRDefault="001A35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52FB04" w14:textId="77777777" w:rsidR="001A354C" w:rsidRDefault="001A35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820F5E" w14:textId="77777777" w:rsidR="001A354C" w:rsidRDefault="001A35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B7694D" w14:textId="77777777" w:rsidR="001A354C" w:rsidRDefault="001A35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F545DE8" w14:textId="77777777" w:rsidR="00A94917" w:rsidRDefault="00A94917" w:rsidP="001A354C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3ED14730" w14:textId="77777777" w:rsidR="00611238" w:rsidRDefault="00611238" w:rsidP="001A354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8A5359B" w14:textId="77777777" w:rsidR="00611238" w:rsidRDefault="00611238" w:rsidP="001A354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713DA77" w14:textId="0244E8D7" w:rsidR="001A354C" w:rsidRPr="00611238" w:rsidRDefault="001A354C" w:rsidP="001A354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2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Figure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3831">
              <w:rPr>
                <w:rStyle w:val="A4"/>
                <w:noProof/>
              </w:rPr>
              <w:drawing>
                <wp:anchor distT="0" distB="0" distL="114300" distR="114300" simplePos="0" relativeHeight="251658240" behindDoc="1" locked="0" layoutInCell="1" allowOverlap="1" wp14:anchorId="4E28F3BC" wp14:editId="226CC6AA">
                  <wp:simplePos x="0" y="0"/>
                  <wp:positionH relativeFrom="column">
                    <wp:posOffset>3567430</wp:posOffset>
                  </wp:positionH>
                  <wp:positionV relativeFrom="paragraph">
                    <wp:posOffset>81915</wp:posOffset>
                  </wp:positionV>
                  <wp:extent cx="1681480" cy="1495425"/>
                  <wp:effectExtent l="0" t="0" r="0" b="9525"/>
                  <wp:wrapTight wrapText="bothSides">
                    <wp:wrapPolygon edited="0">
                      <wp:start x="1224" y="0"/>
                      <wp:lineTo x="0" y="1651"/>
                      <wp:lineTo x="0" y="2201"/>
                      <wp:lineTo x="245" y="17335"/>
                      <wp:lineTo x="3671" y="18161"/>
                      <wp:lineTo x="3671" y="20912"/>
                      <wp:lineTo x="19088" y="21462"/>
                      <wp:lineTo x="20311" y="21462"/>
                      <wp:lineTo x="21290" y="19811"/>
                      <wp:lineTo x="21290" y="19261"/>
                      <wp:lineTo x="20066" y="17610"/>
                      <wp:lineTo x="21045" y="17610"/>
                      <wp:lineTo x="21290" y="16510"/>
                      <wp:lineTo x="21290" y="275"/>
                      <wp:lineTo x="20801" y="0"/>
                      <wp:lineTo x="12725" y="0"/>
                      <wp:lineTo x="1224" y="0"/>
                    </wp:wrapPolygon>
                  </wp:wrapTight>
                  <wp:docPr id="17636923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48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64A4">
              <w:rPr>
                <w:rStyle w:val="A4"/>
                <w:b/>
                <w:bCs/>
              </w:rPr>
              <w:t>Introduction/</w:t>
            </w:r>
            <w:r w:rsidR="001564A4" w:rsidRPr="0050053A">
              <w:rPr>
                <w:rStyle w:val="A4"/>
                <w:b/>
                <w:bCs/>
              </w:rPr>
              <w:t xml:space="preserve">Aim: </w:t>
            </w:r>
            <w:r w:rsidR="002A559F" w:rsidRPr="001A354C">
              <w:rPr>
                <w:rStyle w:val="A4"/>
              </w:rPr>
              <w:t xml:space="preserve">The ‘can do, do </w:t>
            </w:r>
            <w:proofErr w:type="spellStart"/>
            <w:r w:rsidR="002A559F" w:rsidRPr="001A354C">
              <w:rPr>
                <w:rStyle w:val="A4"/>
              </w:rPr>
              <w:t>do</w:t>
            </w:r>
            <w:proofErr w:type="spellEnd"/>
            <w:r w:rsidR="002A559F" w:rsidRPr="001A354C">
              <w:rPr>
                <w:rStyle w:val="A4"/>
              </w:rPr>
              <w:t xml:space="preserve">’ concept </w:t>
            </w:r>
            <w:r w:rsidR="00893659">
              <w:rPr>
                <w:rStyle w:val="A4"/>
              </w:rPr>
              <w:t>aims</w:t>
            </w:r>
            <w:r w:rsidR="002A559F" w:rsidRPr="001A354C">
              <w:rPr>
                <w:rStyle w:val="A4"/>
              </w:rPr>
              <w:t xml:space="preserve"> to understand if physical capacity (PC) contributes to physical activity (PA) participation.</w:t>
            </w:r>
            <w:r w:rsidR="00522332" w:rsidRPr="001A354C">
              <w:rPr>
                <w:rStyle w:val="A4"/>
              </w:rPr>
              <w:t xml:space="preserve"> </w:t>
            </w:r>
            <w:r w:rsidR="00522332" w:rsidRPr="001A354C">
              <w:rPr>
                <w:sz w:val="22"/>
                <w:szCs w:val="22"/>
              </w:rPr>
              <w:t xml:space="preserve">This study </w:t>
            </w:r>
            <w:r w:rsidR="00A37D96">
              <w:rPr>
                <w:sz w:val="22"/>
                <w:szCs w:val="22"/>
              </w:rPr>
              <w:t>applies</w:t>
            </w:r>
            <w:r w:rsidR="00522332" w:rsidRPr="001A354C">
              <w:rPr>
                <w:sz w:val="22"/>
                <w:szCs w:val="22"/>
              </w:rPr>
              <w:t xml:space="preserve"> the </w:t>
            </w:r>
            <w:r w:rsidR="001E2B8F">
              <w:rPr>
                <w:sz w:val="22"/>
                <w:szCs w:val="22"/>
              </w:rPr>
              <w:t>‘</w:t>
            </w:r>
            <w:r w:rsidR="00522332" w:rsidRPr="001A354C">
              <w:rPr>
                <w:sz w:val="22"/>
                <w:szCs w:val="22"/>
              </w:rPr>
              <w:t xml:space="preserve">can do, do </w:t>
            </w:r>
            <w:proofErr w:type="spellStart"/>
            <w:r w:rsidR="00522332" w:rsidRPr="001A354C">
              <w:rPr>
                <w:sz w:val="22"/>
                <w:szCs w:val="22"/>
              </w:rPr>
              <w:t>do</w:t>
            </w:r>
            <w:proofErr w:type="spellEnd"/>
            <w:r w:rsidR="00B13B35">
              <w:rPr>
                <w:sz w:val="22"/>
                <w:szCs w:val="22"/>
              </w:rPr>
              <w:t>’</w:t>
            </w:r>
            <w:r w:rsidR="00522332" w:rsidRPr="001A354C">
              <w:rPr>
                <w:sz w:val="22"/>
                <w:szCs w:val="22"/>
              </w:rPr>
              <w:t xml:space="preserve"> concept in people with and without</w:t>
            </w:r>
            <w:r w:rsidR="00016D13">
              <w:rPr>
                <w:sz w:val="22"/>
                <w:szCs w:val="22"/>
              </w:rPr>
              <w:t xml:space="preserve"> obstructive airway disease</w:t>
            </w:r>
            <w:r w:rsidR="00522332" w:rsidRPr="001A354C">
              <w:rPr>
                <w:sz w:val="22"/>
                <w:szCs w:val="22"/>
              </w:rPr>
              <w:t xml:space="preserve"> </w:t>
            </w:r>
            <w:r w:rsidR="00016D13">
              <w:rPr>
                <w:sz w:val="22"/>
                <w:szCs w:val="22"/>
              </w:rPr>
              <w:t>(</w:t>
            </w:r>
            <w:r w:rsidR="00522332" w:rsidRPr="001A354C">
              <w:rPr>
                <w:sz w:val="22"/>
                <w:szCs w:val="22"/>
              </w:rPr>
              <w:t>OAD</w:t>
            </w:r>
            <w:r w:rsidR="00016D13">
              <w:rPr>
                <w:sz w:val="22"/>
                <w:szCs w:val="22"/>
              </w:rPr>
              <w:t>)</w:t>
            </w:r>
            <w:r w:rsidR="00522332" w:rsidRPr="001A354C">
              <w:rPr>
                <w:sz w:val="22"/>
                <w:szCs w:val="22"/>
              </w:rPr>
              <w:t>, and identif</w:t>
            </w:r>
            <w:r w:rsidR="009C7244">
              <w:rPr>
                <w:sz w:val="22"/>
                <w:szCs w:val="22"/>
              </w:rPr>
              <w:t>ies</w:t>
            </w:r>
            <w:r w:rsidR="00522332" w:rsidRPr="001A354C">
              <w:rPr>
                <w:sz w:val="22"/>
                <w:szCs w:val="22"/>
              </w:rPr>
              <w:t xml:space="preserve"> </w:t>
            </w:r>
            <w:r w:rsidR="00D6048F">
              <w:rPr>
                <w:sz w:val="22"/>
                <w:szCs w:val="22"/>
              </w:rPr>
              <w:t xml:space="preserve">movement behaviour and clinical </w:t>
            </w:r>
            <w:r w:rsidR="00522332" w:rsidRPr="001A354C">
              <w:rPr>
                <w:sz w:val="22"/>
                <w:szCs w:val="22"/>
              </w:rPr>
              <w:t>characteristic</w:t>
            </w:r>
            <w:r w:rsidR="00C51209">
              <w:rPr>
                <w:sz w:val="22"/>
                <w:szCs w:val="22"/>
              </w:rPr>
              <w:t xml:space="preserve"> </w:t>
            </w:r>
            <w:r w:rsidR="00A52E51">
              <w:rPr>
                <w:sz w:val="22"/>
                <w:szCs w:val="22"/>
              </w:rPr>
              <w:t xml:space="preserve">differences </w:t>
            </w:r>
            <w:r w:rsidR="00C51209">
              <w:rPr>
                <w:sz w:val="22"/>
                <w:szCs w:val="22"/>
              </w:rPr>
              <w:t>between quadrants</w:t>
            </w:r>
            <w:r>
              <w:rPr>
                <w:sz w:val="22"/>
                <w:szCs w:val="22"/>
              </w:rPr>
              <w:t xml:space="preserve"> </w:t>
            </w:r>
            <w:r w:rsidRPr="001A354C">
              <w:rPr>
                <w:sz w:val="22"/>
                <w:szCs w:val="22"/>
              </w:rPr>
              <w:t>(Figure 1)</w:t>
            </w:r>
            <w:r w:rsidR="00522332" w:rsidRPr="001A354C">
              <w:rPr>
                <w:sz w:val="22"/>
                <w:szCs w:val="22"/>
              </w:rPr>
              <w:t>.</w:t>
            </w:r>
          </w:p>
          <w:p w14:paraId="1B39336E" w14:textId="3E620C9C" w:rsidR="001564A4" w:rsidRPr="001A354C" w:rsidRDefault="001564A4" w:rsidP="007B1071">
            <w:pPr>
              <w:pStyle w:val="Pa12"/>
              <w:jc w:val="both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824599">
              <w:rPr>
                <w:rStyle w:val="A4"/>
              </w:rPr>
              <w:t>A</w:t>
            </w:r>
            <w:r w:rsidR="00B25EC6" w:rsidRPr="00B25EC6">
              <w:rPr>
                <w:rStyle w:val="A4"/>
              </w:rPr>
              <w:t xml:space="preserve">dults with bronchiectasis (n=60), severe asthma (n=93), </w:t>
            </w:r>
            <w:r w:rsidR="006325B0">
              <w:rPr>
                <w:rStyle w:val="A4"/>
              </w:rPr>
              <w:t>chronic obstructive pulmonary disease (</w:t>
            </w:r>
            <w:r w:rsidR="00B25EC6" w:rsidRPr="00B25EC6">
              <w:rPr>
                <w:rStyle w:val="A4"/>
              </w:rPr>
              <w:t>COPD</w:t>
            </w:r>
            <w:r w:rsidR="006325B0">
              <w:rPr>
                <w:rStyle w:val="A4"/>
              </w:rPr>
              <w:t>)</w:t>
            </w:r>
            <w:r w:rsidR="00B25EC6" w:rsidRPr="00B25EC6">
              <w:rPr>
                <w:rStyle w:val="A4"/>
              </w:rPr>
              <w:t xml:space="preserve"> (n=70)</w:t>
            </w:r>
            <w:r w:rsidR="00E23349">
              <w:rPr>
                <w:rStyle w:val="A4"/>
              </w:rPr>
              <w:t>,</w:t>
            </w:r>
            <w:r w:rsidR="00B25EC6" w:rsidRPr="00B25EC6">
              <w:rPr>
                <w:rStyle w:val="A4"/>
              </w:rPr>
              <w:t xml:space="preserve"> and without-OAD (n=58)</w:t>
            </w:r>
            <w:r w:rsidR="00824599">
              <w:rPr>
                <w:rStyle w:val="A4"/>
              </w:rPr>
              <w:t xml:space="preserve"> completed a multidimensional assessment</w:t>
            </w:r>
            <w:r w:rsidR="00B25EC6" w:rsidRPr="00B25EC6">
              <w:rPr>
                <w:rStyle w:val="A4"/>
              </w:rPr>
              <w:t xml:space="preserve">. Participants were divided into categories (Figure 1) according to their </w:t>
            </w:r>
            <w:r w:rsidR="00824599">
              <w:rPr>
                <w:rStyle w:val="A4"/>
              </w:rPr>
              <w:t xml:space="preserve">PC and PA [i.e., </w:t>
            </w:r>
            <w:r w:rsidR="00B25EC6" w:rsidRPr="00B25EC6">
              <w:rPr>
                <w:rStyle w:val="A4"/>
              </w:rPr>
              <w:t>6-minute walk distance percent predicted</w:t>
            </w:r>
            <w:r w:rsidR="00CF3DB1">
              <w:rPr>
                <w:rStyle w:val="A4"/>
              </w:rPr>
              <w:t xml:space="preserve"> (&lt; or ≥ 70%</w:t>
            </w:r>
            <w:r w:rsidR="002D5EAA">
              <w:rPr>
                <w:rStyle w:val="A4"/>
              </w:rPr>
              <w:t>)</w:t>
            </w:r>
            <w:r w:rsidR="00824599">
              <w:rPr>
                <w:rStyle w:val="A4"/>
              </w:rPr>
              <w:t xml:space="preserve">; </w:t>
            </w:r>
            <w:r w:rsidR="00B25EC6" w:rsidRPr="00B25EC6">
              <w:rPr>
                <w:rStyle w:val="A4"/>
              </w:rPr>
              <w:t>time spent in moderate-</w:t>
            </w:r>
            <w:r w:rsidR="0005537E">
              <w:rPr>
                <w:rStyle w:val="A4"/>
              </w:rPr>
              <w:t>to-</w:t>
            </w:r>
            <w:r w:rsidR="00B25EC6" w:rsidRPr="00B25EC6">
              <w:rPr>
                <w:rStyle w:val="A4"/>
              </w:rPr>
              <w:t xml:space="preserve">vigorous </w:t>
            </w:r>
            <w:r w:rsidR="00CF3DB1">
              <w:rPr>
                <w:rStyle w:val="A4"/>
              </w:rPr>
              <w:t>PA</w:t>
            </w:r>
            <w:r w:rsidR="00524755">
              <w:rPr>
                <w:rStyle w:val="A4"/>
              </w:rPr>
              <w:t xml:space="preserve"> (&lt; or ≥ 150 min/week</w:t>
            </w:r>
            <w:r w:rsidR="002C02CC">
              <w:rPr>
                <w:rStyle w:val="A4"/>
              </w:rPr>
              <w:t>)</w:t>
            </w:r>
            <w:r w:rsidR="00824599">
              <w:rPr>
                <w:rStyle w:val="A4"/>
              </w:rPr>
              <w:t>]</w:t>
            </w:r>
            <w:r w:rsidR="00B25EC6" w:rsidRPr="00B25EC6">
              <w:rPr>
                <w:rStyle w:val="A4"/>
              </w:rPr>
              <w:t xml:space="preserve">. The </w:t>
            </w:r>
            <w:r w:rsidR="008743F1">
              <w:rPr>
                <w:rStyle w:val="A4"/>
              </w:rPr>
              <w:t>group</w:t>
            </w:r>
            <w:r w:rsidR="00005BF3">
              <w:rPr>
                <w:rStyle w:val="A4"/>
              </w:rPr>
              <w:t>s</w:t>
            </w:r>
            <w:r w:rsidR="008743F1">
              <w:rPr>
                <w:rStyle w:val="A4"/>
              </w:rPr>
              <w:t xml:space="preserve"> proportions</w:t>
            </w:r>
            <w:r w:rsidR="008743F1" w:rsidRPr="00B25EC6">
              <w:rPr>
                <w:rStyle w:val="A4"/>
              </w:rPr>
              <w:t xml:space="preserve"> </w:t>
            </w:r>
            <w:r w:rsidR="00B25EC6" w:rsidRPr="00B25EC6">
              <w:rPr>
                <w:rStyle w:val="A4"/>
              </w:rPr>
              <w:t>and characteristics of each quadrant were analysed.</w:t>
            </w:r>
          </w:p>
          <w:p w14:paraId="6BF3F094" w14:textId="6E0E4F23" w:rsidR="001564A4" w:rsidRPr="004D53FC" w:rsidRDefault="001564A4" w:rsidP="007B1071">
            <w:pPr>
              <w:pStyle w:val="Pa12"/>
              <w:jc w:val="both"/>
              <w:rPr>
                <w:rStyle w:val="A4"/>
                <w:strike/>
                <w:color w:val="FF0000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AA7D05" w:rsidRPr="00B03265">
              <w:rPr>
                <w:rStyle w:val="A4"/>
              </w:rPr>
              <w:t>Compared with the</w:t>
            </w:r>
            <w:r w:rsidR="00EE098D" w:rsidRPr="00EE098D">
              <w:rPr>
                <w:rStyle w:val="A4"/>
              </w:rPr>
              <w:t xml:space="preserve"> </w:t>
            </w:r>
            <w:r w:rsidR="00005BF3">
              <w:rPr>
                <w:rStyle w:val="A4"/>
              </w:rPr>
              <w:t>without-OAD</w:t>
            </w:r>
            <w:r w:rsidR="00005BF3" w:rsidRPr="00EE098D">
              <w:rPr>
                <w:rStyle w:val="A4"/>
              </w:rPr>
              <w:t xml:space="preserve"> </w:t>
            </w:r>
            <w:r w:rsidR="00EE098D" w:rsidRPr="00EE098D">
              <w:rPr>
                <w:rStyle w:val="A4"/>
              </w:rPr>
              <w:t xml:space="preserve">group </w:t>
            </w:r>
            <w:r w:rsidR="00115D34">
              <w:rPr>
                <w:rStyle w:val="A4"/>
              </w:rPr>
              <w:t>(</w:t>
            </w:r>
            <w:r w:rsidR="00104034">
              <w:rPr>
                <w:rStyle w:val="A4"/>
              </w:rPr>
              <w:t>5</w:t>
            </w:r>
            <w:r w:rsidR="00115D34">
              <w:rPr>
                <w:rStyle w:val="A4"/>
              </w:rPr>
              <w:t>%)</w:t>
            </w:r>
            <w:r w:rsidR="00AA7D05">
              <w:rPr>
                <w:rStyle w:val="A4"/>
              </w:rPr>
              <w:t xml:space="preserve">, a higher proportion of people in </w:t>
            </w:r>
            <w:r w:rsidR="00AA7D05" w:rsidRPr="00EE098D">
              <w:rPr>
                <w:rStyle w:val="A4"/>
              </w:rPr>
              <w:t>the OAD groups (bronchiectasis</w:t>
            </w:r>
            <w:r w:rsidR="00AA7D05">
              <w:rPr>
                <w:rStyle w:val="A4"/>
              </w:rPr>
              <w:t xml:space="preserve"> 30%</w:t>
            </w:r>
            <w:r w:rsidR="00AA7D05" w:rsidRPr="00EE098D">
              <w:rPr>
                <w:rStyle w:val="A4"/>
              </w:rPr>
              <w:t>, severe asthma</w:t>
            </w:r>
            <w:r w:rsidR="00AA7D05">
              <w:rPr>
                <w:rStyle w:val="A4"/>
              </w:rPr>
              <w:t xml:space="preserve"> 25%</w:t>
            </w:r>
            <w:r w:rsidR="00AA7D05" w:rsidRPr="00EE098D">
              <w:rPr>
                <w:rStyle w:val="A4"/>
              </w:rPr>
              <w:t xml:space="preserve"> and COPD</w:t>
            </w:r>
            <w:r w:rsidR="00AA7D05">
              <w:rPr>
                <w:rStyle w:val="A4"/>
              </w:rPr>
              <w:t xml:space="preserve"> 59%</w:t>
            </w:r>
            <w:r w:rsidR="00AA7D05" w:rsidRPr="00EE098D">
              <w:rPr>
                <w:rStyle w:val="A4"/>
              </w:rPr>
              <w:t>)</w:t>
            </w:r>
            <w:r w:rsidR="00AA7D05">
              <w:rPr>
                <w:rStyle w:val="A4"/>
              </w:rPr>
              <w:t xml:space="preserve"> were</w:t>
            </w:r>
            <w:r w:rsidR="00B01960">
              <w:rPr>
                <w:rStyle w:val="A4"/>
              </w:rPr>
              <w:t xml:space="preserve"> in the </w:t>
            </w:r>
            <w:r w:rsidR="002C02CC">
              <w:rPr>
                <w:rStyle w:val="A4"/>
              </w:rPr>
              <w:t>‘</w:t>
            </w:r>
            <w:r w:rsidR="00B01960">
              <w:rPr>
                <w:rStyle w:val="A4"/>
              </w:rPr>
              <w:t>can</w:t>
            </w:r>
            <w:r w:rsidR="00DA43ED">
              <w:rPr>
                <w:rStyle w:val="A4"/>
              </w:rPr>
              <w:t>’</w:t>
            </w:r>
            <w:r w:rsidR="00B01960">
              <w:rPr>
                <w:rStyle w:val="A4"/>
              </w:rPr>
              <w:t>t do, don’t do</w:t>
            </w:r>
            <w:r w:rsidR="002C02CC">
              <w:rPr>
                <w:rStyle w:val="A4"/>
              </w:rPr>
              <w:t>’</w:t>
            </w:r>
            <w:r w:rsidR="001C04F7">
              <w:rPr>
                <w:rStyle w:val="A4"/>
              </w:rPr>
              <w:t xml:space="preserve"> quadrant</w:t>
            </w:r>
            <w:r w:rsidR="00EE098D" w:rsidRPr="00EE098D">
              <w:rPr>
                <w:rStyle w:val="A4"/>
              </w:rPr>
              <w:t>.</w:t>
            </w:r>
            <w:r w:rsidR="009A1215">
              <w:rPr>
                <w:rStyle w:val="A4"/>
              </w:rPr>
              <w:t xml:space="preserve"> Within the OAD groups,</w:t>
            </w:r>
            <w:r w:rsidR="00EE098D" w:rsidRPr="00EE098D">
              <w:rPr>
                <w:rStyle w:val="A4"/>
              </w:rPr>
              <w:t xml:space="preserve"> </w:t>
            </w:r>
            <w:r w:rsidR="00C76A66">
              <w:rPr>
                <w:rStyle w:val="A4"/>
              </w:rPr>
              <w:t>t</w:t>
            </w:r>
            <w:r w:rsidR="00EE098D" w:rsidRPr="00EE098D">
              <w:rPr>
                <w:rStyle w:val="A4"/>
              </w:rPr>
              <w:t>he COPD group had</w:t>
            </w:r>
            <w:r w:rsidR="00697BFE">
              <w:rPr>
                <w:rStyle w:val="A4"/>
              </w:rPr>
              <w:t xml:space="preserve"> </w:t>
            </w:r>
            <w:r w:rsidR="009A1215">
              <w:rPr>
                <w:rStyle w:val="A4"/>
              </w:rPr>
              <w:t>the</w:t>
            </w:r>
            <w:r w:rsidR="00EE098D" w:rsidRPr="00EE098D">
              <w:rPr>
                <w:rStyle w:val="A4"/>
              </w:rPr>
              <w:t xml:space="preserve"> </w:t>
            </w:r>
            <w:r w:rsidR="00697BFE">
              <w:rPr>
                <w:rStyle w:val="A4"/>
              </w:rPr>
              <w:t>lowe</w:t>
            </w:r>
            <w:r w:rsidR="009A1215">
              <w:rPr>
                <w:rStyle w:val="A4"/>
              </w:rPr>
              <w:t>st</w:t>
            </w:r>
            <w:r w:rsidR="00697BFE">
              <w:rPr>
                <w:rStyle w:val="A4"/>
              </w:rPr>
              <w:t xml:space="preserve"> </w:t>
            </w:r>
            <w:r w:rsidR="00EE098D" w:rsidRPr="00EE098D">
              <w:rPr>
                <w:rStyle w:val="A4"/>
              </w:rPr>
              <w:t>proportion</w:t>
            </w:r>
            <w:r w:rsidR="00115D34">
              <w:rPr>
                <w:rStyle w:val="A4"/>
              </w:rPr>
              <w:t xml:space="preserve"> </w:t>
            </w:r>
            <w:r w:rsidR="00EE098D" w:rsidRPr="00EE098D">
              <w:rPr>
                <w:rStyle w:val="A4"/>
              </w:rPr>
              <w:t xml:space="preserve">of people in the ‘can do, do </w:t>
            </w:r>
            <w:proofErr w:type="spellStart"/>
            <w:r w:rsidR="00EE098D" w:rsidRPr="00EE098D">
              <w:rPr>
                <w:rStyle w:val="A4"/>
              </w:rPr>
              <w:t>do</w:t>
            </w:r>
            <w:proofErr w:type="spellEnd"/>
            <w:r w:rsidR="00EE098D" w:rsidRPr="00EE098D">
              <w:rPr>
                <w:rStyle w:val="A4"/>
              </w:rPr>
              <w:t>’ quadrant</w:t>
            </w:r>
            <w:r w:rsidR="004D53FC">
              <w:rPr>
                <w:rStyle w:val="A4"/>
              </w:rPr>
              <w:t xml:space="preserve"> (10%)</w:t>
            </w:r>
            <w:r w:rsidR="009115A8">
              <w:rPr>
                <w:rStyle w:val="A4"/>
              </w:rPr>
              <w:t xml:space="preserve"> </w:t>
            </w:r>
            <w:r w:rsidR="00EE098D" w:rsidRPr="004D53FC">
              <w:rPr>
                <w:rStyle w:val="A4"/>
                <w:color w:val="auto"/>
              </w:rPr>
              <w:t xml:space="preserve">(p&lt;0.05). </w:t>
            </w:r>
            <w:r w:rsidR="00EE098D" w:rsidRPr="00EE098D">
              <w:rPr>
                <w:rStyle w:val="A4"/>
              </w:rPr>
              <w:t xml:space="preserve">Participants in the ‘can’t do, don’t do’ quadrant spent significantly more time in </w:t>
            </w:r>
            <w:r w:rsidR="00401578">
              <w:rPr>
                <w:rStyle w:val="A4"/>
              </w:rPr>
              <w:t>sedentary behaviour</w:t>
            </w:r>
            <w:r w:rsidR="00401578" w:rsidRPr="00EE098D">
              <w:rPr>
                <w:rStyle w:val="A4"/>
              </w:rPr>
              <w:t xml:space="preserve"> </w:t>
            </w:r>
            <w:r w:rsidR="00EE098D" w:rsidRPr="00EE098D">
              <w:rPr>
                <w:rStyle w:val="A4"/>
              </w:rPr>
              <w:t xml:space="preserve">compared with the ‘can do, do </w:t>
            </w:r>
            <w:proofErr w:type="spellStart"/>
            <w:r w:rsidR="00EE098D" w:rsidRPr="00EE098D">
              <w:rPr>
                <w:rStyle w:val="A4"/>
              </w:rPr>
              <w:t>do</w:t>
            </w:r>
            <w:proofErr w:type="spellEnd"/>
            <w:r w:rsidR="00EE098D" w:rsidRPr="00EE098D">
              <w:rPr>
                <w:rStyle w:val="A4"/>
              </w:rPr>
              <w:t xml:space="preserve">’ quadrant for the bronchiectasis and COPD groups (p&lt;0.05). People in the ‘can do, do </w:t>
            </w:r>
            <w:proofErr w:type="spellStart"/>
            <w:r w:rsidR="00EE098D" w:rsidRPr="00EE098D">
              <w:rPr>
                <w:rStyle w:val="A4"/>
              </w:rPr>
              <w:t>do</w:t>
            </w:r>
            <w:proofErr w:type="spellEnd"/>
            <w:r w:rsidR="00EE098D" w:rsidRPr="00EE098D">
              <w:rPr>
                <w:rStyle w:val="A4"/>
              </w:rPr>
              <w:t xml:space="preserve">’ quadrant spent more time doing light </w:t>
            </w:r>
            <w:r w:rsidR="002C02CC">
              <w:rPr>
                <w:rStyle w:val="A4"/>
              </w:rPr>
              <w:t>PA</w:t>
            </w:r>
            <w:r w:rsidR="00EE098D" w:rsidRPr="00EE098D">
              <w:rPr>
                <w:rStyle w:val="A4"/>
              </w:rPr>
              <w:t xml:space="preserve"> compared with the ‘don’t do’ quadrants for each OAD group (p&lt;0.05). Compared with the ‘can do, do </w:t>
            </w:r>
            <w:proofErr w:type="spellStart"/>
            <w:r w:rsidR="00EE098D" w:rsidRPr="00EE098D">
              <w:rPr>
                <w:rStyle w:val="A4"/>
              </w:rPr>
              <w:t>do</w:t>
            </w:r>
            <w:proofErr w:type="spellEnd"/>
            <w:r w:rsidR="00EE098D" w:rsidRPr="00EE098D">
              <w:rPr>
                <w:rStyle w:val="A4"/>
              </w:rPr>
              <w:t xml:space="preserve">’ quadrant, </w:t>
            </w:r>
            <w:r w:rsidR="00DB2895">
              <w:rPr>
                <w:rStyle w:val="A4"/>
              </w:rPr>
              <w:t>participants in the</w:t>
            </w:r>
            <w:r w:rsidR="00DB2895" w:rsidRPr="00EE098D">
              <w:rPr>
                <w:rStyle w:val="A4"/>
              </w:rPr>
              <w:t xml:space="preserve"> </w:t>
            </w:r>
            <w:r w:rsidR="00EE098D" w:rsidRPr="00EE098D">
              <w:rPr>
                <w:rStyle w:val="A4"/>
              </w:rPr>
              <w:t xml:space="preserve">‘can’t do, don’t do’ quadrant </w:t>
            </w:r>
            <w:r w:rsidR="00DB2895">
              <w:rPr>
                <w:rStyle w:val="A4"/>
              </w:rPr>
              <w:t>had</w:t>
            </w:r>
            <w:r w:rsidR="00EE098D" w:rsidRPr="00EE098D">
              <w:rPr>
                <w:rStyle w:val="A4"/>
              </w:rPr>
              <w:t xml:space="preserve"> more comorbidities, reduced lung function, impaired quality of life</w:t>
            </w:r>
            <w:r w:rsidR="001C04F7">
              <w:rPr>
                <w:rStyle w:val="A4"/>
              </w:rPr>
              <w:t>,</w:t>
            </w:r>
            <w:r w:rsidR="00EE098D" w:rsidRPr="00EE098D">
              <w:rPr>
                <w:rStyle w:val="A4"/>
              </w:rPr>
              <w:t xml:space="preserve"> and </w:t>
            </w:r>
            <w:r w:rsidR="001768A4">
              <w:rPr>
                <w:rStyle w:val="A4"/>
              </w:rPr>
              <w:t>greater breathlessness impact</w:t>
            </w:r>
            <w:r w:rsidR="00EE098D" w:rsidRPr="00EE098D">
              <w:rPr>
                <w:rStyle w:val="A4"/>
              </w:rPr>
              <w:t xml:space="preserve"> (p&lt;0.05).</w:t>
            </w:r>
          </w:p>
          <w:p w14:paraId="652F7BE1" w14:textId="35FEE51B" w:rsidR="001564A4" w:rsidRPr="006643A5" w:rsidRDefault="001564A4" w:rsidP="007B1071">
            <w:pPr>
              <w:pStyle w:val="Pa12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  <w:r w:rsidR="00B976AF">
              <w:rPr>
                <w:rStyle w:val="A4"/>
                <w:b/>
                <w:bCs/>
              </w:rPr>
              <w:t xml:space="preserve"> </w:t>
            </w:r>
            <w:r w:rsidR="00E024FD">
              <w:rPr>
                <w:rStyle w:val="A4"/>
              </w:rPr>
              <w:t>P</w:t>
            </w:r>
            <w:r w:rsidR="00003B2A">
              <w:rPr>
                <w:rStyle w:val="A4"/>
              </w:rPr>
              <w:t xml:space="preserve">eople with OAD often have low </w:t>
            </w:r>
            <w:r w:rsidR="002D5EAA">
              <w:rPr>
                <w:rStyle w:val="A4"/>
              </w:rPr>
              <w:t>PC</w:t>
            </w:r>
            <w:r w:rsidR="0090038D">
              <w:rPr>
                <w:rStyle w:val="A4"/>
              </w:rPr>
              <w:t xml:space="preserve"> </w:t>
            </w:r>
            <w:r w:rsidR="0066214B">
              <w:rPr>
                <w:rStyle w:val="A4"/>
              </w:rPr>
              <w:t>and</w:t>
            </w:r>
            <w:r w:rsidR="00003B2A">
              <w:rPr>
                <w:rStyle w:val="A4"/>
              </w:rPr>
              <w:t xml:space="preserve"> low PA</w:t>
            </w:r>
            <w:r w:rsidR="003318BE">
              <w:rPr>
                <w:rStyle w:val="A4"/>
              </w:rPr>
              <w:t>.</w:t>
            </w:r>
            <w:r w:rsidR="00895B67">
              <w:rPr>
                <w:rStyle w:val="A4"/>
              </w:rPr>
              <w:t xml:space="preserve"> Optimising </w:t>
            </w:r>
            <w:r w:rsidR="00EA6A58">
              <w:rPr>
                <w:rStyle w:val="A4"/>
              </w:rPr>
              <w:t xml:space="preserve">light activity and sedentary behaviour in people with OAD who are inactive </w:t>
            </w:r>
            <w:r w:rsidR="00895B67">
              <w:rPr>
                <w:rStyle w:val="A4"/>
              </w:rPr>
              <w:t>is a</w:t>
            </w:r>
            <w:r w:rsidR="0090038D">
              <w:rPr>
                <w:rStyle w:val="A4"/>
              </w:rPr>
              <w:t xml:space="preserve"> potential target for intervention</w:t>
            </w:r>
            <w:r w:rsidR="006643A5">
              <w:rPr>
                <w:rStyle w:val="A4"/>
              </w:rPr>
              <w:t xml:space="preserve">. Behavioural interventions may be of benefit to people with OAD who remain inactive despite having preserved PC. </w:t>
            </w:r>
          </w:p>
          <w:p w14:paraId="7F8381F0" w14:textId="7600F197" w:rsidR="001564A4" w:rsidRPr="00833142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9C5FAA" w:rsidRPr="009C5FAA">
              <w:rPr>
                <w:rStyle w:val="A4"/>
              </w:rPr>
              <w:t>University of Newcastle, NHMRC, Hunter Medical Research Institute, John Hunter Hospital Charitable Trust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1FF1A88F" w14:textId="713622EC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05D5D0F4" w:rsidR="00E0700F" w:rsidRDefault="00E0700F" w:rsidP="007D5F36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030A" w14:textId="77777777" w:rsidR="00FB080B" w:rsidRDefault="00FB080B" w:rsidP="00457015">
      <w:r>
        <w:separator/>
      </w:r>
    </w:p>
  </w:endnote>
  <w:endnote w:type="continuationSeparator" w:id="0">
    <w:p w14:paraId="415D2FB7" w14:textId="77777777" w:rsidR="00FB080B" w:rsidRDefault="00FB080B" w:rsidP="0045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CBC6" w14:textId="77777777" w:rsidR="00FB080B" w:rsidRDefault="00FB080B" w:rsidP="00457015">
      <w:r>
        <w:separator/>
      </w:r>
    </w:p>
  </w:footnote>
  <w:footnote w:type="continuationSeparator" w:id="0">
    <w:p w14:paraId="3C5D5C1C" w14:textId="77777777" w:rsidR="00FB080B" w:rsidRDefault="00FB080B" w:rsidP="0045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3B2A"/>
    <w:rsid w:val="00005BF3"/>
    <w:rsid w:val="00011A0D"/>
    <w:rsid w:val="00016D13"/>
    <w:rsid w:val="0003422C"/>
    <w:rsid w:val="0005537E"/>
    <w:rsid w:val="00055515"/>
    <w:rsid w:val="000578AC"/>
    <w:rsid w:val="00070289"/>
    <w:rsid w:val="000928EA"/>
    <w:rsid w:val="000A5A59"/>
    <w:rsid w:val="000D4F97"/>
    <w:rsid w:val="00104034"/>
    <w:rsid w:val="00115D34"/>
    <w:rsid w:val="001305CA"/>
    <w:rsid w:val="001564A4"/>
    <w:rsid w:val="001768A4"/>
    <w:rsid w:val="001A0F1D"/>
    <w:rsid w:val="001A3452"/>
    <w:rsid w:val="001A354C"/>
    <w:rsid w:val="001C04F7"/>
    <w:rsid w:val="001E2B8F"/>
    <w:rsid w:val="002103A7"/>
    <w:rsid w:val="00255E65"/>
    <w:rsid w:val="002A559F"/>
    <w:rsid w:val="002B2D9A"/>
    <w:rsid w:val="002C02CC"/>
    <w:rsid w:val="002D5EAA"/>
    <w:rsid w:val="003318BE"/>
    <w:rsid w:val="00336892"/>
    <w:rsid w:val="003477D7"/>
    <w:rsid w:val="00350499"/>
    <w:rsid w:val="00364C10"/>
    <w:rsid w:val="00395BCD"/>
    <w:rsid w:val="003E694B"/>
    <w:rsid w:val="00401578"/>
    <w:rsid w:val="004030A1"/>
    <w:rsid w:val="004162F2"/>
    <w:rsid w:val="00457015"/>
    <w:rsid w:val="004A6C72"/>
    <w:rsid w:val="004B6ED1"/>
    <w:rsid w:val="004D53FC"/>
    <w:rsid w:val="004E353E"/>
    <w:rsid w:val="005067DA"/>
    <w:rsid w:val="0051574E"/>
    <w:rsid w:val="00522332"/>
    <w:rsid w:val="00524755"/>
    <w:rsid w:val="0053101E"/>
    <w:rsid w:val="005831B1"/>
    <w:rsid w:val="005A2B6D"/>
    <w:rsid w:val="005C0BC2"/>
    <w:rsid w:val="005E5945"/>
    <w:rsid w:val="005F584A"/>
    <w:rsid w:val="00610DCC"/>
    <w:rsid w:val="00611238"/>
    <w:rsid w:val="00627825"/>
    <w:rsid w:val="006316B3"/>
    <w:rsid w:val="006325B0"/>
    <w:rsid w:val="0066214B"/>
    <w:rsid w:val="006643A5"/>
    <w:rsid w:val="00697BFE"/>
    <w:rsid w:val="006B3E65"/>
    <w:rsid w:val="007027C9"/>
    <w:rsid w:val="007138CA"/>
    <w:rsid w:val="007B1071"/>
    <w:rsid w:val="007D5F36"/>
    <w:rsid w:val="00824599"/>
    <w:rsid w:val="00825D00"/>
    <w:rsid w:val="00833142"/>
    <w:rsid w:val="00863831"/>
    <w:rsid w:val="008743F1"/>
    <w:rsid w:val="008803FA"/>
    <w:rsid w:val="00893659"/>
    <w:rsid w:val="00895B67"/>
    <w:rsid w:val="008A2BDB"/>
    <w:rsid w:val="008A5695"/>
    <w:rsid w:val="0090038D"/>
    <w:rsid w:val="009115A8"/>
    <w:rsid w:val="009240DA"/>
    <w:rsid w:val="009459E0"/>
    <w:rsid w:val="00947193"/>
    <w:rsid w:val="009A1215"/>
    <w:rsid w:val="009C5FAA"/>
    <w:rsid w:val="009C7244"/>
    <w:rsid w:val="00A37D96"/>
    <w:rsid w:val="00A52E51"/>
    <w:rsid w:val="00A876D0"/>
    <w:rsid w:val="00A92533"/>
    <w:rsid w:val="00A94917"/>
    <w:rsid w:val="00AA7D05"/>
    <w:rsid w:val="00AD2783"/>
    <w:rsid w:val="00B01960"/>
    <w:rsid w:val="00B03265"/>
    <w:rsid w:val="00B0564D"/>
    <w:rsid w:val="00B12E32"/>
    <w:rsid w:val="00B13B35"/>
    <w:rsid w:val="00B20E06"/>
    <w:rsid w:val="00B25EC6"/>
    <w:rsid w:val="00B565BB"/>
    <w:rsid w:val="00B86799"/>
    <w:rsid w:val="00B925AA"/>
    <w:rsid w:val="00B976AF"/>
    <w:rsid w:val="00BD13FE"/>
    <w:rsid w:val="00BE3D71"/>
    <w:rsid w:val="00C1601F"/>
    <w:rsid w:val="00C444D4"/>
    <w:rsid w:val="00C51209"/>
    <w:rsid w:val="00C76A66"/>
    <w:rsid w:val="00C84370"/>
    <w:rsid w:val="00CD1D3B"/>
    <w:rsid w:val="00CD7304"/>
    <w:rsid w:val="00CF3DB1"/>
    <w:rsid w:val="00D33666"/>
    <w:rsid w:val="00D340C6"/>
    <w:rsid w:val="00D6048F"/>
    <w:rsid w:val="00D75FD3"/>
    <w:rsid w:val="00D9701B"/>
    <w:rsid w:val="00DA43ED"/>
    <w:rsid w:val="00DB2895"/>
    <w:rsid w:val="00DB6B26"/>
    <w:rsid w:val="00DB6DB6"/>
    <w:rsid w:val="00DD2704"/>
    <w:rsid w:val="00E024FD"/>
    <w:rsid w:val="00E0700F"/>
    <w:rsid w:val="00E075DB"/>
    <w:rsid w:val="00E22FEB"/>
    <w:rsid w:val="00E23349"/>
    <w:rsid w:val="00E270A5"/>
    <w:rsid w:val="00E52F88"/>
    <w:rsid w:val="00EA6A58"/>
    <w:rsid w:val="00EE098D"/>
    <w:rsid w:val="00EE3292"/>
    <w:rsid w:val="00EF414E"/>
    <w:rsid w:val="00F11393"/>
    <w:rsid w:val="00F21941"/>
    <w:rsid w:val="00F65F52"/>
    <w:rsid w:val="00F82822"/>
    <w:rsid w:val="00F841C2"/>
    <w:rsid w:val="00F93CBC"/>
    <w:rsid w:val="00F97461"/>
    <w:rsid w:val="00FA57A3"/>
    <w:rsid w:val="00FB080B"/>
    <w:rsid w:val="00FD34F3"/>
    <w:rsid w:val="00FD71B7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9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01B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1B"/>
    <w:rPr>
      <w:rFonts w:ascii="Times New Roman" w:eastAsia="Times New Roman" w:hAnsi="Times New Roman" w:cs="Times New Roman"/>
      <w:b/>
      <w:bCs/>
      <w:lang w:val="en-GB"/>
    </w:rPr>
  </w:style>
  <w:style w:type="table" w:styleId="TableGrid">
    <w:name w:val="Table Grid"/>
    <w:basedOn w:val="TableNormal"/>
    <w:uiPriority w:val="39"/>
    <w:rsid w:val="007027C9"/>
    <w:rPr>
      <w:rFonts w:asciiTheme="minorHAnsi" w:eastAsiaTheme="minorEastAsia" w:hAnsiTheme="minorHAnsi"/>
      <w:sz w:val="22"/>
      <w:szCs w:val="22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3E6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57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0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7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01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436</Words>
  <Characters>2574</Characters>
  <Application>Microsoft Office Word</Application>
  <DocSecurity>0</DocSecurity>
  <Lines>107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Paola Urroz Guerrero</cp:lastModifiedBy>
  <cp:revision>14</cp:revision>
  <dcterms:created xsi:type="dcterms:W3CDTF">2023-10-17T03:07:00Z</dcterms:created>
  <dcterms:modified xsi:type="dcterms:W3CDTF">2023-10-18T22:49:00Z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8b0fcb6527a6c193d470f369c1faf2736e743ff20b5ef0225115b2ff76b50f92</vt:lpwstr>
  </property>
</Properties>
</file>